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2015年5月15日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407,198,828.28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交银新回报灵活配置混合A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交银新回报灵活配置混合C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395,235,116.48</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11,963,711.80</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交银新回报灵活配置混合A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交银新回报灵活配置混合C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13,172,247.46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1,770,309.06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11,674,516.60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1,543,437.44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0.0307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0.1072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482,641,029.29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50,610,007.24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1.221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4.230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交银新回报灵活配置混合A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2.61%</w:t>
            </w:r>
          </w:p>
        </w:tc>
        <w:tc>
          <w:tcPr>
            <w:vAlign w:val="center"/>
          </w:tcPr>
          <w:p>
            <w:pPr>
              <w:jc w:val="center"/>
            </w:pPr>
            <w:r>
              <w:rPr>
                <w:color w:val="000000"/>
                <w:sz w:val="24"/>
              </w:rPr>
              <w:t>0.18%</w:t>
            </w:r>
          </w:p>
        </w:tc>
        <w:tc>
          <w:tcPr>
            <w:vAlign w:val="center"/>
          </w:tcPr>
          <w:p>
            <w:pPr>
              <w:jc w:val="center"/>
            </w:pPr>
            <w:r>
              <w:rPr>
                <w:color w:val="000000"/>
                <w:sz w:val="24"/>
              </w:rPr>
              <w:t>0.16%</w:t>
            </w:r>
          </w:p>
        </w:tc>
        <w:tc>
          <w:tcPr>
            <w:vAlign w:val="center"/>
          </w:tcPr>
          <w:p>
            <w:pPr>
              <w:jc w:val="center"/>
            </w:pPr>
            <w:r>
              <w:rPr>
                <w:color w:val="000000"/>
                <w:sz w:val="24"/>
              </w:rPr>
              <w:t>0.48%</w:t>
            </w:r>
          </w:p>
        </w:tc>
        <w:tc>
          <w:tcPr>
            <w:vAlign w:val="center"/>
          </w:tcPr>
          <w:p>
            <w:pPr>
              <w:jc w:val="center"/>
            </w:pPr>
            <w:r>
              <w:rPr>
                <w:color w:val="000000"/>
                <w:sz w:val="24"/>
              </w:rPr>
              <w:t>2.45%</w:t>
            </w:r>
          </w:p>
        </w:tc>
        <w:tc>
          <w:tcPr>
            <w:vAlign w:val="center"/>
          </w:tcPr>
          <w:p>
            <w:pPr>
              <w:jc w:val="center"/>
            </w:pPr>
            <w:r>
              <w:rPr>
                <w:color w:val="000000"/>
                <w:sz w:val="24"/>
              </w:rPr>
              <w:t>-0.30%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交银新回报灵活配置混合C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2.79%</w:t>
            </w:r>
          </w:p>
        </w:tc>
        <w:tc>
          <w:tcPr>
            <w:vAlign w:val="center"/>
          </w:tcPr>
          <w:p>
            <w:pPr>
              <w:jc w:val="center"/>
            </w:pPr>
            <w:r>
              <w:rPr>
                <w:color w:val="000000"/>
                <w:sz w:val="24"/>
              </w:rPr>
              <w:t>0.17%</w:t>
            </w:r>
          </w:p>
        </w:tc>
        <w:tc>
          <w:tcPr>
            <w:vAlign w:val="center"/>
          </w:tcPr>
          <w:p>
            <w:pPr>
              <w:jc w:val="center"/>
            </w:pPr>
            <w:r>
              <w:rPr>
                <w:color w:val="000000"/>
                <w:sz w:val="24"/>
              </w:rPr>
              <w:t>0.16%</w:t>
            </w:r>
          </w:p>
        </w:tc>
        <w:tc>
          <w:tcPr>
            <w:vAlign w:val="center"/>
          </w:tcPr>
          <w:p>
            <w:pPr>
              <w:jc w:val="center"/>
            </w:pPr>
            <w:r>
              <w:rPr>
                <w:color w:val="000000"/>
                <w:sz w:val="24"/>
              </w:rPr>
              <w:t>0.48%</w:t>
            </w:r>
          </w:p>
        </w:tc>
        <w:tc>
          <w:tcPr>
            <w:vAlign w:val="center"/>
          </w:tcPr>
          <w:p>
            <w:pPr>
              <w:jc w:val="center"/>
            </w:pPr>
            <w:r>
              <w:rPr>
                <w:color w:val="000000"/>
                <w:sz w:val="24"/>
              </w:rPr>
              <w:t>2.63%</w:t>
            </w:r>
          </w:p>
        </w:tc>
        <w:tc>
          <w:tcPr>
            <w:vAlign w:val="center"/>
          </w:tcPr>
          <w:p>
            <w:pPr>
              <w:jc w:val="center"/>
            </w:pPr>
            <w:r>
              <w:rPr>
                <w:color w:val="000000"/>
                <w:sz w:val="24"/>
              </w:rPr>
              <w:t>-0.31%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交银施罗德新回报灵活配置混合型证券投资基金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2015年5月15日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注：图示日期为2015年5月15日至2019年9月30日。本基金建仓期为自基金合同生效日起的6个月。截至建仓期结束，本基金各项资产配置比例符合基金合同及招募说明书有关投资比例的约定。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交银新回报灵活配置混合C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注：本基金自2015年11月19日起，开始销售C类份额，投资者提交的申购申请于2015年11月20日被确认并将有效份额登记在册。图示日期为2015年11月20日至2019年9月30日。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7等事件催化下，债券市场收益率呈现快速下行，十年国债一度破3%。九月后，随着稳增长预期升温、通胀担忧加剧以及资金面紧平衡等因素出现，债券市场小幅调整。截至九月底，活跃十年国债收益率自七月初一路走低，八月中旬破3%，后再度小幅上行。</w:t>
      </w:r>
    </w:p>
    <w:p>
      <w:pPr>
        <w:spacing w:before="29" w:line="288" w:lineRule="auto"/>
        <w:ind w:firstLine="480" w:firstLineChars="200"/>
        <w:rPr>
          <w:color w:val="000000"/>
          <w:sz w:val="24"/>
        </w:rPr>
      </w:pPr>
      <w:r>
        <w:rPr>
          <w:color w:val="000000"/>
          <w:sz w:val="24"/>
        </w:rPr>
        <w:t>权益市场三季度呈现明显分化，大盘指数三季度收跌，但创业板指数季度上涨逾7%。从行业看，TMT、医药及白酒板块明显上行，强周期板块则在报告期内收跌。</w:t>
      </w:r>
    </w:p>
    <w:p>
      <w:pPr>
        <w:spacing w:before="29" w:line="288" w:lineRule="auto"/>
        <w:ind w:firstLine="480" w:firstLineChars="200"/>
        <w:rPr>
          <w:color w:val="000000"/>
          <w:sz w:val="24"/>
        </w:rPr>
      </w:pPr>
      <w:r>
        <w:rPr>
          <w:color w:val="000000"/>
          <w:sz w:val="24"/>
        </w:rPr>
        <w:t>我们认为，三季度在经济下行压力下，债市存在配置机会，因此在季度初期的基金操作中，根据申赎及债市收益率变化积极增加底仓久期，底仓品种以中短久期高等级信用品种为主。八月中后期，由于中短久期信用债收益率较低，融资成本有所抬升，基金适当放缓配置节奏。权益方面，基金积极关注新股发行动态，进行权益一级市场投资，同时也关注二级市场的投资机会，在成长股估值偏高后减持部分高弹性品种，置换为高股息及低估值品种，以控制基金回撤。</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高等级信用品种，长端利率择机做波段操作，以提升基金静态收益。权益方面，我们将继续积极关注权益市场一级投资机会，同时关注低估细分行业配置机会，以及中长期成长个股，努力为投资人取得稳定业绩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80,500,358.97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12.66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80,500,358.97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12.66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411,351,000.00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64.68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411,351,000.00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64.68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128,770,302.66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20.25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6,889,768.07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8,492,267.07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636,003,696.77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30,504,499.35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5.72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2,519,426.00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0.47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5,735,301.22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2,531,932.00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0.47</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2,026,129.40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29,037,271.00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5.45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6,762,470.00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1,383,330.00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0.26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80,500,358.97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15.10</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2,110,700</w:t>
            </w:r>
          </w:p>
        </w:tc>
        <w:tc>
          <w:tcPr>
            <w:vAlign w:val="center"/>
          </w:tcPr>
          <w:p>
            <w:pPr>
              <w:jc w:val="right"/>
            </w:pPr>
            <w:r>
              <w:rPr>
                <w:color w:val="000000"/>
                <w:sz w:val="24"/>
              </w:rPr>
              <w:t>11,672,171.00</w:t>
            </w:r>
          </w:p>
        </w:tc>
        <w:tc>
          <w:tcPr>
            <w:vAlign w:val="center"/>
          </w:tcPr>
          <w:p>
            <w:pPr>
              <w:jc w:val="right"/>
            </w:pPr>
            <w:r>
              <w:rPr>
                <w:color w:val="000000"/>
                <w:sz w:val="24"/>
              </w:rPr>
              <w:t>2.19</w:t>
            </w:r>
          </w:p>
        </w:tc>
      </w:tr>
      <w:tr>
        <w:tc>
          <w:tcPr>
            <w:vAlign w:val="center"/>
          </w:tcPr>
          <w:p>
            <w:pPr>
              <w:jc w:val="center"/>
            </w:pPr>
            <w:r>
              <w:rPr>
                <w:color w:val="000000"/>
                <w:sz w:val="24"/>
              </w:rPr>
              <w:t>2</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10,000</w:t>
            </w:r>
          </w:p>
        </w:tc>
        <w:tc>
          <w:tcPr>
            <w:vAlign w:val="center"/>
          </w:tcPr>
          <w:p>
            <w:pPr>
              <w:jc w:val="right"/>
            </w:pPr>
            <w:r>
              <w:rPr>
                <w:color w:val="000000"/>
                <w:sz w:val="24"/>
              </w:rPr>
              <w:t>11,500,000.00</w:t>
            </w:r>
          </w:p>
        </w:tc>
        <w:tc>
          <w:tcPr>
            <w:vAlign w:val="center"/>
          </w:tcPr>
          <w:p>
            <w:pPr>
              <w:jc w:val="right"/>
            </w:pPr>
            <w:r>
              <w:rPr>
                <w:color w:val="000000"/>
                <w:sz w:val="24"/>
              </w:rPr>
              <w:t>2.16</w:t>
            </w:r>
          </w:p>
        </w:tc>
      </w:tr>
      <w:tr>
        <w:tc>
          <w:tcPr>
            <w:vAlign w:val="center"/>
          </w:tcPr>
          <w:p>
            <w:pPr>
              <w:jc w:val="center"/>
            </w:pPr>
            <w:r>
              <w:rPr>
                <w:color w:val="000000"/>
                <w:sz w:val="24"/>
              </w:rPr>
              <w:t>3</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295,000</w:t>
            </w:r>
          </w:p>
        </w:tc>
        <w:tc>
          <w:tcPr>
            <w:vAlign w:val="center"/>
          </w:tcPr>
          <w:p>
            <w:pPr>
              <w:jc w:val="right"/>
            </w:pPr>
            <w:r>
              <w:rPr>
                <w:color w:val="000000"/>
                <w:sz w:val="24"/>
              </w:rPr>
              <w:t>8,106,600.00</w:t>
            </w:r>
          </w:p>
        </w:tc>
        <w:tc>
          <w:tcPr>
            <w:vAlign w:val="center"/>
          </w:tcPr>
          <w:p>
            <w:pPr>
              <w:jc w:val="right"/>
            </w:pPr>
            <w:r>
              <w:rPr>
                <w:color w:val="000000"/>
                <w:sz w:val="24"/>
              </w:rPr>
              <w:t>1.52</w:t>
            </w:r>
          </w:p>
        </w:tc>
      </w:tr>
      <w:tr>
        <w:tc>
          <w:tcPr>
            <w:vAlign w:val="center"/>
          </w:tcPr>
          <w:p>
            <w:pPr>
              <w:jc w:val="center"/>
            </w:pPr>
            <w:r>
              <w:rPr>
                <w:color w:val="000000"/>
                <w:sz w:val="24"/>
              </w:rPr>
              <w:t>4</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2,000,000</w:t>
            </w:r>
          </w:p>
        </w:tc>
        <w:tc>
          <w:tcPr>
            <w:vAlign w:val="center"/>
          </w:tcPr>
          <w:p>
            <w:pPr>
              <w:jc w:val="right"/>
            </w:pPr>
            <w:r>
              <w:rPr>
                <w:color w:val="000000"/>
                <w:sz w:val="24"/>
              </w:rPr>
              <w:t>6,920,000.00</w:t>
            </w:r>
          </w:p>
        </w:tc>
        <w:tc>
          <w:tcPr>
            <w:vAlign w:val="center"/>
          </w:tcPr>
          <w:p>
            <w:pPr>
              <w:jc w:val="right"/>
            </w:pPr>
            <w:r>
              <w:rPr>
                <w:color w:val="000000"/>
                <w:sz w:val="24"/>
              </w:rPr>
              <w:t>1.30</w:t>
            </w:r>
          </w:p>
        </w:tc>
      </w:tr>
      <w:tr>
        <w:tc>
          <w:tcPr>
            <w:vAlign w:val="center"/>
          </w:tcPr>
          <w:p>
            <w:pPr>
              <w:jc w:val="center"/>
            </w:pPr>
            <w:r>
              <w:rPr>
                <w:color w:val="000000"/>
                <w:sz w:val="24"/>
              </w:rPr>
              <w:t>5</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472,900</w:t>
            </w:r>
          </w:p>
        </w:tc>
        <w:tc>
          <w:tcPr>
            <w:vAlign w:val="center"/>
          </w:tcPr>
          <w:p>
            <w:pPr>
              <w:jc w:val="right"/>
            </w:pPr>
            <w:r>
              <w:rPr>
                <w:color w:val="000000"/>
                <w:sz w:val="24"/>
              </w:rPr>
              <w:t>6,762,470.00</w:t>
            </w:r>
          </w:p>
        </w:tc>
        <w:tc>
          <w:tcPr>
            <w:vAlign w:val="center"/>
          </w:tcPr>
          <w:p>
            <w:pPr>
              <w:jc w:val="right"/>
            </w:pPr>
            <w:r>
              <w:rPr>
                <w:color w:val="000000"/>
                <w:sz w:val="24"/>
              </w:rPr>
              <w:t>1.27</w:t>
            </w:r>
          </w:p>
        </w:tc>
      </w:tr>
      <w:tr>
        <w:tc>
          <w:tcPr>
            <w:vAlign w:val="center"/>
          </w:tcPr>
          <w:p>
            <w:pPr>
              <w:jc w:val="center"/>
            </w:pPr>
            <w:r>
              <w:rPr>
                <w:color w:val="000000"/>
                <w:sz w:val="24"/>
              </w:rPr>
              <w:t>6</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200,000</w:t>
            </w:r>
          </w:p>
        </w:tc>
        <w:tc>
          <w:tcPr>
            <w:vAlign w:val="center"/>
          </w:tcPr>
          <w:p>
            <w:pPr>
              <w:jc w:val="right"/>
            </w:pPr>
            <w:r>
              <w:rPr>
                <w:color w:val="000000"/>
                <w:sz w:val="24"/>
              </w:rPr>
              <w:t>5,704,000.00</w:t>
            </w:r>
          </w:p>
        </w:tc>
        <w:tc>
          <w:tcPr>
            <w:vAlign w:val="center"/>
          </w:tcPr>
          <w:p>
            <w:pPr>
              <w:jc w:val="right"/>
            </w:pPr>
            <w:r>
              <w:rPr>
                <w:color w:val="000000"/>
                <w:sz w:val="24"/>
              </w:rPr>
              <w:t>1.07</w:t>
            </w:r>
          </w:p>
        </w:tc>
      </w:tr>
      <w:tr>
        <w:tc>
          <w:tcPr>
            <w:vAlign w:val="center"/>
          </w:tcPr>
          <w:p>
            <w:pPr>
              <w:jc w:val="center"/>
            </w:pPr>
            <w:r>
              <w:rPr>
                <w:color w:val="000000"/>
                <w:sz w:val="24"/>
              </w:rPr>
              <w:t>7</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199,963</w:t>
            </w:r>
          </w:p>
        </w:tc>
        <w:tc>
          <w:tcPr>
            <w:vAlign w:val="center"/>
          </w:tcPr>
          <w:p>
            <w:pPr>
              <w:jc w:val="right"/>
            </w:pPr>
            <w:r>
              <w:rPr>
                <w:color w:val="000000"/>
                <w:sz w:val="24"/>
              </w:rPr>
              <w:t>4,203,222.26</w:t>
            </w:r>
          </w:p>
        </w:tc>
        <w:tc>
          <w:tcPr>
            <w:vAlign w:val="center"/>
          </w:tcPr>
          <w:p>
            <w:pPr>
              <w:jc w:val="right"/>
            </w:pPr>
            <w:r>
              <w:rPr>
                <w:color w:val="000000"/>
                <w:sz w:val="24"/>
              </w:rPr>
              <w:t>0.79</w:t>
            </w:r>
          </w:p>
        </w:tc>
      </w:tr>
      <w:tr>
        <w:tc>
          <w:tcPr>
            <w:vAlign w:val="center"/>
          </w:tcPr>
          <w:p>
            <w:pPr>
              <w:jc w:val="center"/>
            </w:pPr>
            <w:r>
              <w:rPr>
                <w:color w:val="000000"/>
                <w:sz w:val="24"/>
              </w:rPr>
              <w:t>8</w:t>
            </w:r>
          </w:p>
        </w:tc>
        <w:tc>
          <w:tcPr>
            <w:vAlign w:val="center"/>
          </w:tcPr>
          <w:p>
            <w:pPr>
              <w:jc w:val="center"/>
            </w:pPr>
            <w:r>
              <w:rPr>
                <w:color w:val="000000"/>
                <w:sz w:val="24"/>
              </w:rPr>
              <w:t>600009</w:t>
            </w:r>
          </w:p>
        </w:tc>
        <w:tc>
          <w:tcPr>
            <w:vAlign w:val="center"/>
          </w:tcPr>
          <w:p>
            <w:pPr>
              <w:jc w:val="center"/>
            </w:pPr>
            <w:r>
              <w:rPr>
                <w:color w:val="000000"/>
                <w:sz w:val="24"/>
              </w:rPr>
              <w:t>上海机场</w:t>
            </w:r>
          </w:p>
        </w:tc>
        <w:tc>
          <w:tcPr>
            <w:vAlign w:val="center"/>
          </w:tcPr>
          <w:p>
            <w:pPr>
              <w:jc w:val="right"/>
            </w:pPr>
            <w:r>
              <w:rPr>
                <w:color w:val="000000"/>
                <w:sz w:val="24"/>
              </w:rPr>
              <w:t>46,449</w:t>
            </w:r>
          </w:p>
        </w:tc>
        <w:tc>
          <w:tcPr>
            <w:vAlign w:val="center"/>
          </w:tcPr>
          <w:p>
            <w:pPr>
              <w:jc w:val="right"/>
            </w:pPr>
            <w:r>
              <w:rPr>
                <w:color w:val="000000"/>
                <w:sz w:val="24"/>
              </w:rPr>
              <w:t>3,705,701.22</w:t>
            </w:r>
          </w:p>
        </w:tc>
        <w:tc>
          <w:tcPr>
            <w:vAlign w:val="center"/>
          </w:tcPr>
          <w:p>
            <w:pPr>
              <w:jc w:val="right"/>
            </w:pPr>
            <w:r>
              <w:rPr>
                <w:color w:val="000000"/>
                <w:sz w:val="24"/>
              </w:rPr>
              <w:t>0.69</w:t>
            </w:r>
          </w:p>
        </w:tc>
      </w:tr>
      <w:tr>
        <w:tc>
          <w:tcPr>
            <w:vAlign w:val="center"/>
          </w:tcPr>
          <w:p>
            <w:pPr>
              <w:jc w:val="center"/>
            </w:pPr>
            <w:r>
              <w:rPr>
                <w:color w:val="000000"/>
                <w:sz w:val="24"/>
              </w:rPr>
              <w:t>9</w:t>
            </w:r>
          </w:p>
        </w:tc>
        <w:tc>
          <w:tcPr>
            <w:vAlign w:val="center"/>
          </w:tcPr>
          <w:p>
            <w:pPr>
              <w:jc w:val="center"/>
            </w:pPr>
            <w:r>
              <w:rPr>
                <w:color w:val="000000"/>
                <w:sz w:val="24"/>
              </w:rPr>
              <w:t>600690</w:t>
            </w:r>
          </w:p>
        </w:tc>
        <w:tc>
          <w:tcPr>
            <w:vAlign w:val="center"/>
          </w:tcPr>
          <w:p>
            <w:pPr>
              <w:jc w:val="center"/>
            </w:pPr>
            <w:r>
              <w:rPr>
                <w:color w:val="000000"/>
                <w:sz w:val="24"/>
              </w:rPr>
              <w:t>海尔智家</w:t>
            </w:r>
          </w:p>
        </w:tc>
        <w:tc>
          <w:tcPr>
            <w:vAlign w:val="center"/>
          </w:tcPr>
          <w:p>
            <w:pPr>
              <w:jc w:val="right"/>
            </w:pPr>
            <w:r>
              <w:rPr>
                <w:color w:val="000000"/>
                <w:sz w:val="24"/>
              </w:rPr>
              <w:t>200,000</w:t>
            </w:r>
          </w:p>
        </w:tc>
        <w:tc>
          <w:tcPr>
            <w:vAlign w:val="center"/>
          </w:tcPr>
          <w:p>
            <w:pPr>
              <w:jc w:val="right"/>
            </w:pPr>
            <w:r>
              <w:rPr>
                <w:color w:val="000000"/>
                <w:sz w:val="24"/>
              </w:rPr>
              <w:t>3,060,000.00</w:t>
            </w:r>
          </w:p>
        </w:tc>
        <w:tc>
          <w:tcPr>
            <w:vAlign w:val="center"/>
          </w:tcPr>
          <w:p>
            <w:pPr>
              <w:jc w:val="right"/>
            </w:pPr>
            <w:r>
              <w:rPr>
                <w:color w:val="000000"/>
                <w:sz w:val="24"/>
              </w:rPr>
              <w:t>0.57</w:t>
            </w:r>
          </w:p>
        </w:tc>
      </w:tr>
      <w:tr>
        <w:tc>
          <w:tcPr>
            <w:vAlign w:val="center"/>
          </w:tcPr>
          <w:p>
            <w:pPr>
              <w:jc w:val="center"/>
            </w:pPr>
            <w:r>
              <w:rPr>
                <w:color w:val="000000"/>
                <w:sz w:val="24"/>
              </w:rPr>
              <w:t>10</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39,928</w:t>
            </w:r>
          </w:p>
        </w:tc>
        <w:tc>
          <w:tcPr>
            <w:vAlign w:val="center"/>
          </w:tcPr>
          <w:p>
            <w:pPr>
              <w:jc w:val="right"/>
            </w:pPr>
            <w:r>
              <w:rPr>
                <w:color w:val="000000"/>
                <w:sz w:val="24"/>
              </w:rPr>
              <w:t>3,036,524.40</w:t>
            </w:r>
          </w:p>
        </w:tc>
        <w:tc>
          <w:tcPr>
            <w:vAlign w:val="center"/>
          </w:tcPr>
          <w:p>
            <w:pPr>
              <w:jc w:val="right"/>
            </w:pPr>
            <w:r>
              <w:rPr>
                <w:color w:val="000000"/>
                <w:sz w:val="24"/>
              </w:rPr>
              <w:t>0.57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26,312,000.00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4.93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26,312,000.00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4.93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202,443,000.00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37.96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182,510,000.00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34.23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411,351,000.00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77.14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260,000</w:t>
            </w:r>
          </w:p>
        </w:tc>
        <w:tc>
          <w:tcPr>
            <w:vAlign w:val="center"/>
          </w:tcPr>
          <w:p>
            <w:pPr>
              <w:jc w:val="right"/>
            </w:pPr>
            <w:r>
              <w:rPr>
                <w:color w:val="000000"/>
                <w:sz w:val="24"/>
              </w:rPr>
              <w:t>26,312,000.00</w:t>
            </w:r>
          </w:p>
        </w:tc>
        <w:tc>
          <w:tcPr>
            <w:vAlign w:val="center"/>
          </w:tcPr>
          <w:p>
            <w:pPr>
              <w:jc w:val="right"/>
            </w:pPr>
            <w:r>
              <w:rPr>
                <w:color w:val="000000"/>
                <w:sz w:val="24"/>
              </w:rPr>
              <w:t>4.93</w:t>
            </w:r>
          </w:p>
        </w:tc>
      </w:tr>
      <w:tr>
        <w:tc>
          <w:tcPr>
            <w:vAlign w:val="center"/>
          </w:tcPr>
          <w:p>
            <w:pPr>
              <w:jc w:val="center"/>
            </w:pPr>
            <w:r>
              <w:rPr>
                <w:color w:val="000000"/>
                <w:sz w:val="24"/>
              </w:rPr>
              <w:t>2</w:t>
            </w:r>
          </w:p>
        </w:tc>
        <w:tc>
          <w:tcPr>
            <w:vAlign w:val="center"/>
          </w:tcPr>
          <w:p>
            <w:pPr>
              <w:jc w:val="center"/>
            </w:pPr>
            <w:r>
              <w:rPr>
                <w:color w:val="000000"/>
                <w:sz w:val="24"/>
              </w:rPr>
              <w:t>101800696</w:t>
            </w:r>
          </w:p>
        </w:tc>
        <w:tc>
          <w:tcPr>
            <w:vAlign w:val="center"/>
          </w:tcPr>
          <w:p>
            <w:pPr>
              <w:jc w:val="center"/>
            </w:pPr>
            <w:r>
              <w:rPr>
                <w:color w:val="000000"/>
                <w:sz w:val="24"/>
              </w:rPr>
              <w:t>18闽投MTN002</w:t>
            </w:r>
          </w:p>
        </w:tc>
        <w:tc>
          <w:tcPr>
            <w:vAlign w:val="center"/>
          </w:tcPr>
          <w:p>
            <w:pPr>
              <w:jc w:val="right"/>
            </w:pPr>
            <w:r>
              <w:rPr>
                <w:color w:val="000000"/>
                <w:sz w:val="24"/>
              </w:rPr>
              <w:t>200,000</w:t>
            </w:r>
          </w:p>
        </w:tc>
        <w:tc>
          <w:tcPr>
            <w:vAlign w:val="center"/>
          </w:tcPr>
          <w:p>
            <w:pPr>
              <w:jc w:val="right"/>
            </w:pPr>
            <w:r>
              <w:rPr>
                <w:color w:val="000000"/>
                <w:sz w:val="24"/>
              </w:rPr>
              <w:t>20,582,000.00</w:t>
            </w:r>
          </w:p>
        </w:tc>
        <w:tc>
          <w:tcPr>
            <w:vAlign w:val="center"/>
          </w:tcPr>
          <w:p>
            <w:pPr>
              <w:jc w:val="right"/>
            </w:pPr>
            <w:r>
              <w:rPr>
                <w:color w:val="000000"/>
                <w:sz w:val="24"/>
              </w:rPr>
              <w:t>3.86</w:t>
            </w:r>
          </w:p>
        </w:tc>
      </w:tr>
      <w:tr>
        <w:tc>
          <w:tcPr>
            <w:vAlign w:val="center"/>
          </w:tcPr>
          <w:p>
            <w:pPr>
              <w:jc w:val="center"/>
            </w:pPr>
            <w:r>
              <w:rPr>
                <w:color w:val="000000"/>
                <w:sz w:val="24"/>
              </w:rPr>
              <w:t>3</w:t>
            </w:r>
          </w:p>
        </w:tc>
        <w:tc>
          <w:tcPr>
            <w:vAlign w:val="center"/>
          </w:tcPr>
          <w:p>
            <w:pPr>
              <w:jc w:val="center"/>
            </w:pPr>
            <w:r>
              <w:rPr>
                <w:color w:val="000000"/>
                <w:sz w:val="24"/>
              </w:rPr>
              <w:t>143647</w:t>
            </w:r>
          </w:p>
        </w:tc>
        <w:tc>
          <w:tcPr>
            <w:vAlign w:val="center"/>
          </w:tcPr>
          <w:p>
            <w:pPr>
              <w:jc w:val="center"/>
            </w:pPr>
            <w:r>
              <w:rPr>
                <w:color w:val="000000"/>
                <w:sz w:val="24"/>
              </w:rPr>
              <w:t>18电投03</w:t>
            </w:r>
          </w:p>
        </w:tc>
        <w:tc>
          <w:tcPr>
            <w:vAlign w:val="center"/>
          </w:tcPr>
          <w:p>
            <w:pPr>
              <w:jc w:val="right"/>
            </w:pPr>
            <w:r>
              <w:rPr>
                <w:color w:val="000000"/>
                <w:sz w:val="24"/>
              </w:rPr>
              <w:t>200,000</w:t>
            </w:r>
          </w:p>
        </w:tc>
        <w:tc>
          <w:tcPr>
            <w:vAlign w:val="center"/>
          </w:tcPr>
          <w:p>
            <w:pPr>
              <w:jc w:val="right"/>
            </w:pPr>
            <w:r>
              <w:rPr>
                <w:color w:val="000000"/>
                <w:sz w:val="24"/>
              </w:rPr>
              <w:t>20,460,000.00</w:t>
            </w:r>
          </w:p>
        </w:tc>
        <w:tc>
          <w:tcPr>
            <w:vAlign w:val="center"/>
          </w:tcPr>
          <w:p>
            <w:pPr>
              <w:jc w:val="right"/>
            </w:pPr>
            <w:r>
              <w:rPr>
                <w:color w:val="000000"/>
                <w:sz w:val="24"/>
              </w:rPr>
              <w:t>3.84</w:t>
            </w:r>
          </w:p>
        </w:tc>
      </w:tr>
      <w:tr>
        <w:tc>
          <w:tcPr>
            <w:vAlign w:val="center"/>
          </w:tcPr>
          <w:p>
            <w:pPr>
              <w:jc w:val="center"/>
            </w:pPr>
            <w:r>
              <w:rPr>
                <w:color w:val="000000"/>
                <w:sz w:val="24"/>
              </w:rPr>
              <w:t>4</w:t>
            </w:r>
          </w:p>
        </w:tc>
        <w:tc>
          <w:tcPr>
            <w:vAlign w:val="center"/>
          </w:tcPr>
          <w:p>
            <w:pPr>
              <w:jc w:val="center"/>
            </w:pPr>
            <w:r>
              <w:rPr>
                <w:color w:val="000000"/>
                <w:sz w:val="24"/>
              </w:rPr>
              <w:t>143662</w:t>
            </w:r>
          </w:p>
        </w:tc>
        <w:tc>
          <w:tcPr>
            <w:vAlign w:val="center"/>
          </w:tcPr>
          <w:p>
            <w:pPr>
              <w:jc w:val="center"/>
            </w:pPr>
            <w:r>
              <w:rPr>
                <w:color w:val="000000"/>
                <w:sz w:val="24"/>
              </w:rPr>
              <w:t>18国电02</w:t>
            </w:r>
          </w:p>
        </w:tc>
        <w:tc>
          <w:tcPr>
            <w:vAlign w:val="center"/>
          </w:tcPr>
          <w:p>
            <w:pPr>
              <w:jc w:val="right"/>
            </w:pPr>
            <w:r>
              <w:rPr>
                <w:color w:val="000000"/>
                <w:sz w:val="24"/>
              </w:rPr>
              <w:t>200,000</w:t>
            </w:r>
          </w:p>
        </w:tc>
        <w:tc>
          <w:tcPr>
            <w:vAlign w:val="center"/>
          </w:tcPr>
          <w:p>
            <w:pPr>
              <w:jc w:val="right"/>
            </w:pPr>
            <w:r>
              <w:rPr>
                <w:color w:val="000000"/>
                <w:sz w:val="24"/>
              </w:rPr>
              <w:t>20,454,000.00</w:t>
            </w:r>
          </w:p>
        </w:tc>
        <w:tc>
          <w:tcPr>
            <w:vAlign w:val="center"/>
          </w:tcPr>
          <w:p>
            <w:pPr>
              <w:jc w:val="right"/>
            </w:pPr>
            <w:r>
              <w:rPr>
                <w:color w:val="000000"/>
                <w:sz w:val="24"/>
              </w:rPr>
              <w:t>3.84</w:t>
            </w:r>
          </w:p>
        </w:tc>
      </w:tr>
      <w:tr>
        <w:tc>
          <w:tcPr>
            <w:vAlign w:val="center"/>
          </w:tcPr>
          <w:p>
            <w:pPr>
              <w:jc w:val="center"/>
            </w:pPr>
            <w:r>
              <w:rPr>
                <w:color w:val="000000"/>
                <w:sz w:val="24"/>
              </w:rPr>
              <w:t>5</w:t>
            </w:r>
          </w:p>
        </w:tc>
        <w:tc>
          <w:tcPr>
            <w:vAlign w:val="center"/>
          </w:tcPr>
          <w:p>
            <w:pPr>
              <w:jc w:val="center"/>
            </w:pPr>
            <w:r>
              <w:rPr>
                <w:color w:val="000000"/>
                <w:sz w:val="24"/>
              </w:rPr>
              <w:t>101800784</w:t>
            </w:r>
          </w:p>
        </w:tc>
        <w:tc>
          <w:tcPr>
            <w:vAlign w:val="center"/>
          </w:tcPr>
          <w:p>
            <w:pPr>
              <w:jc w:val="center"/>
            </w:pPr>
            <w:r>
              <w:rPr>
                <w:color w:val="000000"/>
                <w:sz w:val="24"/>
              </w:rPr>
              <w:t>18光明MTN001</w:t>
            </w:r>
          </w:p>
        </w:tc>
        <w:tc>
          <w:tcPr>
            <w:vAlign w:val="center"/>
          </w:tcPr>
          <w:p>
            <w:pPr>
              <w:jc w:val="right"/>
            </w:pPr>
            <w:r>
              <w:rPr>
                <w:color w:val="000000"/>
                <w:sz w:val="24"/>
              </w:rPr>
              <w:t>200,000</w:t>
            </w:r>
          </w:p>
        </w:tc>
        <w:tc>
          <w:tcPr>
            <w:vAlign w:val="center"/>
          </w:tcPr>
          <w:p>
            <w:pPr>
              <w:jc w:val="right"/>
            </w:pPr>
            <w:r>
              <w:rPr>
                <w:color w:val="000000"/>
                <w:sz w:val="24"/>
              </w:rPr>
              <w:t>20,384,000.00</w:t>
            </w:r>
          </w:p>
        </w:tc>
        <w:tc>
          <w:tcPr>
            <w:vAlign w:val="center"/>
          </w:tcPr>
          <w:p>
            <w:pPr>
              <w:jc w:val="right"/>
            </w:pPr>
            <w:r>
              <w:rPr>
                <w:color w:val="000000"/>
                <w:sz w:val="24"/>
              </w:rPr>
              <w:t>3.82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80,489.15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1,978,751.68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5,926,014.12</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507,012.12</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8,492,267.07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交银新回报灵活配置混合A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交银新回报灵活配置混合C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349,476,159.54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12,982,474.57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58,162,789.38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13,311,816.97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12,403,832.44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14,330,579.74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395,235,116.48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11,963,711.80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144,229,807.69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144,229,807.69</w:t>
            </w:r>
          </w:p>
        </w:tc>
        <w:tc>
          <w:tcPr>
            <w:vAlign w:val="center"/>
          </w:tcPr>
          <w:p>
            <w:pPr>
              <w:jc w:val="center"/>
            </w:pPr>
            <w:r>
              <w:rPr>
                <w:rFonts w:ascii="宋体" w:hAnsi="宋体" w:hint="eastAsia"/>
                <w:color w:val="000000"/>
                <w:kern w:val="0"/>
                <w:szCs w:val="21"/>
              </w:rPr>
              <w:t>35.42%</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102,475,661.83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102,475,661.83</w:t>
            </w:r>
          </w:p>
        </w:tc>
        <w:tc>
          <w:tcPr>
            <w:vAlign w:val="center"/>
          </w:tcPr>
          <w:p>
            <w:pPr>
              <w:jc w:val="center"/>
            </w:pPr>
            <w:r>
              <w:rPr>
                <w:rFonts w:ascii="宋体" w:hAnsi="宋体" w:hint="eastAsia"/>
                <w:color w:val="000000"/>
                <w:kern w:val="0"/>
                <w:szCs w:val="21"/>
              </w:rPr>
              <w:t>25.17%</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1、中国证监会准予交银施罗德新回报灵活配置混合型证券投资基金募集注册的文件；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2、《交银施罗德新回报灵活配置混合型证券投资基金基金合同》；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3、《交银施罗德新回报灵活配置混合型证券投资基金招募说明书》；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4、《交银施罗德新回报灵活配置混合型证券投资基金托管协议》；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7、关于申请募集注册交银施罗德新回报灵活配置混合型证券投资基金的法律意见书；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8、报告期内交银施罗德新回报灵活配置混合型证券投资基金在指定报刊上各项公告的原稿。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交银施罗德新回报灵活配置混合型证券投资基金2019年第3季度报告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