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281564" w:rsidR="00902E3F" w:rsidRDefault="00902E3F" w:rsidRPr="000E4C40">
      <w:pPr>
        <w:autoSpaceDE w:val="0"/>
        <w:autoSpaceDN w:val="0"/>
        <w:adjustRightInd w:val="0"/>
        <w:spacing w:before="29" w:line="288" w:lineRule="auto"/>
        <w:jc w:val="left"/>
        <w:rPr>
          <w:color w:val="000000"/>
          <w:kern w:val="0"/>
          <w:sz w:val="24"/>
        </w:rPr>
      </w:pPr>
    </w:p>
    <w:p w:rsidP="00281564" w:rsidR="002B45A4" w:rsidRDefault="002B45A4" w:rsidRPr="000E4C40">
      <w:pPr>
        <w:autoSpaceDE w:val="0"/>
        <w:autoSpaceDN w:val="0"/>
        <w:adjustRightInd w:val="0"/>
        <w:spacing w:before="29" w:line="288" w:lineRule="auto"/>
        <w:jc w:val="left"/>
        <w:rPr>
          <w:color w:val="000000"/>
          <w:kern w:val="0"/>
          <w:sz w:val="24"/>
        </w:rPr>
      </w:pPr>
    </w:p>
    <w:p w:rsidP="00281564" w:rsidR="00575970" w:rsidRDefault="00575970" w:rsidRPr="000E4C40">
      <w:pPr>
        <w:autoSpaceDE w:val="0"/>
        <w:autoSpaceDN w:val="0"/>
        <w:adjustRightInd w:val="0"/>
        <w:spacing w:before="29" w:line="288" w:lineRule="auto"/>
        <w:jc w:val="left"/>
        <w:rPr>
          <w:color w:val="000000"/>
          <w:kern w:val="0"/>
          <w:sz w:val="24"/>
        </w:rPr>
      </w:pPr>
    </w:p>
    <w:p w:rsidP="00281564" w:rsidR="00B60E27" w:rsidRDefault="00B60E27" w:rsidRPr="000E4C40">
      <w:pPr>
        <w:autoSpaceDE w:val="0"/>
        <w:autoSpaceDN w:val="0"/>
        <w:adjustRightInd w:val="0"/>
        <w:spacing w:before="29" w:line="288" w:lineRule="auto"/>
        <w:jc w:val="left"/>
        <w:rPr>
          <w:color w:val="000000"/>
          <w:kern w:val="0"/>
          <w:sz w:val="24"/>
        </w:rPr>
      </w:pPr>
    </w:p>
    <w:p w:rsidP="00281564" w:rsidR="00B60E27" w:rsidRDefault="00B60E27" w:rsidRPr="001E1B20">
      <w:pPr>
        <w:spacing w:before="29" w:line="288" w:lineRule="auto"/>
        <w:jc w:val="center"/>
        <w:rPr>
          <w:b/>
          <w:sz w:val="36"/>
          <w:szCs w:val="36"/>
        </w:rPr>
      </w:pPr>
      <w:r w:rsidRPr="001E1B20">
        <w:rPr>
          <w:b/>
          <w:sz w:val="36"/>
          <w:szCs w:val="36"/>
        </w:rPr>
        <w:t/>
      </w:r>
      <w:proofErr w:type="spellStart"/>
      <w:r w:rsidRPr="001E1B20">
        <w:rPr>
          <w:b/>
          <w:sz w:val="36"/>
          <w:szCs w:val="36"/>
        </w:rPr>
        <w:t/>
      </w:r>
      <w:proofErr w:type="spellEnd"/>
      <w:r w:rsidRPr="001E1B20">
        <w:rPr>
          <w:b/>
          <w:sz w:val="36"/>
          <w:szCs w:val="36"/>
        </w:rPr>
        <w:t>交银施罗德理财21天债券型证券投资基金</w:t>
      </w:r>
    </w:p>
    <w:p w:rsidP="00281564" w:rsidR="00B60E27" w:rsidRDefault="00B60E27" w:rsidRPr="001E1B20">
      <w:pPr>
        <w:spacing w:before="29" w:line="288" w:lineRule="auto"/>
        <w:jc w:val="center"/>
        <w:rPr>
          <w:b/>
          <w:sz w:val="36"/>
          <w:szCs w:val="36"/>
        </w:rPr>
      </w:pPr>
      <w:r w:rsidRPr="001E1B20">
        <w:rPr>
          <w:b/>
          <w:sz w:val="36"/>
          <w:szCs w:val="36"/>
        </w:rPr>
        <w:t/>
      </w:r>
      <w:proofErr w:type="spellStart"/>
      <w:r w:rsidRPr="001E1B20">
        <w:rPr>
          <w:b/>
          <w:sz w:val="36"/>
          <w:szCs w:val="36"/>
        </w:rPr>
        <w:t/>
      </w:r>
      <w:proofErr w:type="spellEnd"/>
      <w:r w:rsidRPr="001E1B20">
        <w:rPr>
          <w:b/>
          <w:sz w:val="36"/>
          <w:szCs w:val="36"/>
        </w:rPr>
        <w:t>2019年第1季度报告</w:t>
      </w:r>
    </w:p>
    <w:p w:rsidP="00281564" w:rsidR="002B45A4" w:rsidRDefault="00D87D00" w:rsidRPr="001E1B20">
      <w:pPr>
        <w:spacing w:before="29" w:line="288" w:lineRule="auto"/>
        <w:jc w:val="center"/>
        <w:rPr>
          <w:b/>
          <w:sz w:val="36"/>
          <w:szCs w:val="36"/>
        </w:rPr>
      </w:pPr>
      <w:r w:rsidRPr="001E1B20">
        <w:rPr>
          <w:b/>
          <w:sz w:val="36"/>
          <w:szCs w:val="36"/>
        </w:rPr>
        <w:t/>
      </w:r>
      <w:proofErr w:type="spellStart"/>
      <w:r w:rsidRPr="001E1B20">
        <w:rPr>
          <w:b/>
          <w:sz w:val="36"/>
          <w:szCs w:val="36"/>
        </w:rPr>
        <w:t/>
      </w:r>
      <w:proofErr w:type="spellEnd"/>
      <w:r w:rsidRPr="001E1B20">
        <w:rPr>
          <w:b/>
          <w:sz w:val="36"/>
          <w:szCs w:val="36"/>
        </w:rPr>
        <w:t>2019年3月31日</w:t>
      </w: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rPr>
          <w:color w:val="000000"/>
          <w:sz w:val="24"/>
        </w:rPr>
      </w:pP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基金管理人：</w:t>
      </w:r>
      <w:r w:rsidRPr="001E1B20">
        <w:rPr>
          <w:b/>
          <w:color w:val="000000"/>
          <w:sz w:val="24"/>
        </w:rPr>
        <w:t/>
      </w:r>
      <w:proofErr w:type="spellStart"/>
      <w:r w:rsidRPr="001E1B20">
        <w:rPr>
          <w:b/>
          <w:color w:val="000000"/>
          <w:sz w:val="24"/>
        </w:rPr>
        <w:t/>
      </w:r>
      <w:proofErr w:type="spellEnd"/>
      <w:r w:rsidRPr="001E1B20">
        <w:rPr>
          <w:b/>
          <w:color w:val="000000"/>
          <w:sz w:val="24"/>
        </w:rPr>
        <w:t>交银施罗德基金管理有限公司</w:t>
      </w: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基金托管人：</w:t>
      </w:r>
      <w:r w:rsidRPr="001E1B20">
        <w:rPr>
          <w:b/>
          <w:color w:val="000000"/>
          <w:sz w:val="24"/>
        </w:rPr>
        <w:t/>
      </w:r>
      <w:proofErr w:type="spellStart"/>
      <w:r w:rsidRPr="001E1B20">
        <w:rPr>
          <w:b/>
          <w:color w:val="000000"/>
          <w:sz w:val="24"/>
        </w:rPr>
        <w:t/>
      </w:r>
      <w:proofErr w:type="spellEnd"/>
      <w:r w:rsidRPr="001E1B20">
        <w:rPr>
          <w:b/>
          <w:color w:val="000000"/>
          <w:sz w:val="24"/>
        </w:rPr>
        <w:t>中国农业银行股份有限公司</w:t>
      </w:r>
    </w:p>
    <w:p w:rsidP="00281564" w:rsidR="00902E3F" w:rsidRDefault="00F77131" w:rsidRPr="001E1B20">
      <w:pPr>
        <w:spacing w:before="29" w:line="288" w:lineRule="auto"/>
        <w:ind w:firstLine="2168" w:firstLineChars="900"/>
        <w:rPr>
          <w:b/>
          <w:color w:val="000000"/>
          <w:sz w:val="24"/>
        </w:rPr>
        <w:sectPr w:rsidR="00902E3F" w:rsidRPr="001E1B20" w:rsidSect="00841EB4">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18" w:right="1418" w:top="1418"/>
          <w:cols w:space="720"/>
          <w:noEndnote/>
          <w:titlePg/>
          <w:docGrid w:linePitch="286"/>
        </w:sectPr>
      </w:pPr>
      <w:r w:rsidRPr="001E1B20">
        <w:rPr>
          <w:rFonts w:hAnsi="宋体"/>
          <w:b/>
          <w:color w:val="000000"/>
          <w:sz w:val="24"/>
        </w:rPr>
        <w:t>报告送出日期：</w:t>
      </w:r>
      <w:r w:rsidR="00EF56FA" w:rsidRPr="001E1B20">
        <w:rPr>
          <w:b/>
          <w:color w:val="000000"/>
          <w:sz w:val="24"/>
        </w:rPr>
        <w:t/>
      </w:r>
      <w:proofErr w:type="spellStart"/>
      <w:r w:rsidR="00EF56FA" w:rsidRPr="001E1B20">
        <w:rPr>
          <w:b/>
          <w:color w:val="000000"/>
          <w:sz w:val="24"/>
        </w:rPr>
        <w:t/>
      </w:r>
      <w:r w:rsidR="00D87D00" w:rsidRPr="001E1B20">
        <w:rPr>
          <w:b/>
          <w:color w:val="000000"/>
          <w:sz w:val="24"/>
        </w:rPr>
        <w:t/>
      </w:r>
      <w:proofErr w:type="spellEnd"/>
      <w:r w:rsidR="00EF56FA" w:rsidRPr="001E1B20">
        <w:rPr>
          <w:b/>
          <w:color w:val="000000"/>
          <w:sz w:val="24"/>
        </w:rPr>
        <w:t>二〇一九年四月二十日</w:t>
      </w:r>
    </w:p>
    <w:p w:rsidP="00841EB4" w:rsidR="00902E3F" w:rsidRDefault="00902E3F" w:rsidRPr="000E4C40">
      <w:pPr>
        <w:pStyle w:val="1"/>
        <w:spacing w:afterLines="100" w:beforeLines="100"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pPr>
        <w:adjustRightInd w:val="0"/>
        <w:spacing w:before="29" w:line="288" w:lineRule="auto"/>
        <w:ind w:firstLine="480" w:firstLineChars="200"/>
        <w:rPr>
          <w:color w:val="000000"/>
          <w:sz w:val="24"/>
        </w:rPr>
      </w:pPr>
      <w:r>
        <w:rPr>
          <w:color w:val="000000"/>
          <w:sz w:val="24"/>
        </w:rPr>
        <w:t xml:space="preserve">基金管理人的董事会及董事保证本报告所载资料不存在虚假记载、误导性陈述或重大遗漏，并对其内容的真实性、准确性和完整性承担个别及连带责任。 </w:t>
      </w:r>
    </w:p>
    <w:p>
      <w:pPr>
        <w:adjustRightInd w:val="0"/>
        <w:spacing w:before="29" w:line="288" w:lineRule="auto"/>
        <w:ind w:firstLine="480" w:firstLineChars="200"/>
        <w:rPr>
          <w:color w:val="000000"/>
          <w:sz w:val="24"/>
        </w:rPr>
      </w:pPr>
      <w:r>
        <w:rPr>
          <w:color w:val="000000"/>
          <w:sz w:val="24"/>
        </w:rPr>
        <w:t xml:space="preserve">基金托管人中国农业银行股份有限公司根据本基金合同规定，于2019年4月19日复核了本报告中的财务指标、净值表现和投资组合报告等内容，保证复核内容不存在虚假记载、误导性陈述或者重大遗漏。 </w:t>
      </w:r>
    </w:p>
    <w:p>
      <w:pPr>
        <w:adjustRightInd w:val="0"/>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adjustRightInd w:val="0"/>
        <w:spacing w:before="29" w:line="288" w:lineRule="auto"/>
        <w:ind w:firstLine="480" w:firstLineChars="200"/>
        <w:rPr>
          <w:color w:val="000000"/>
          <w:sz w:val="24"/>
        </w:rPr>
      </w:pPr>
      <w:r>
        <w:rPr>
          <w:color w:val="000000"/>
          <w:sz w:val="24"/>
        </w:rPr>
        <w:t xml:space="preserve">基金的过往业绩并不代表其未来表现。投资有风险，投资者在作出投资决策前应仔细阅读本基金的招募说明书。 </w:t>
      </w:r>
    </w:p>
    <w:p>
      <w:pPr>
        <w:adjustRightInd w:val="0"/>
        <w:spacing w:before="29" w:line="288" w:lineRule="auto"/>
        <w:ind w:firstLine="480" w:firstLineChars="200"/>
        <w:rPr>
          <w:color w:val="000000"/>
          <w:sz w:val="24"/>
        </w:rPr>
      </w:pPr>
      <w:r>
        <w:rPr>
          <w:color w:val="000000"/>
          <w:sz w:val="24"/>
        </w:rPr>
        <w:t>本报告中财务资料未经审计。</w:t>
      </w:r>
    </w:p>
    <w:p w:rsidP="00281564" w:rsidR="00186667" w:rsidRDefault="00A805BC" w:rsidRPr="000E4C40">
      <w:pPr>
        <w:adjustRightInd w:val="0"/>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本报告期自2019年1月1日起至3月31日止。</w:t>
      </w:r>
    </w:p>
    <w:p w:rsidP="00281564" w:rsidR="00DF2D90" w:rsidRDefault="00DF2D90" w:rsidRPr="000E4C40">
      <w:pPr>
        <w:adjustRightInd w:val="0"/>
        <w:spacing w:before="29" w:line="288" w:lineRule="auto"/>
        <w:ind w:firstLine="480" w:firstLineChars="200"/>
        <w:rPr>
          <w:color w:val="000000"/>
          <w:sz w:val="24"/>
        </w:rPr>
      </w:pPr>
    </w:p>
    <w:p w:rsidP="00841EB4" w:rsidR="00902E3F" w:rsidRDefault="00902E3F" w:rsidRPr="000E4C40">
      <w:pPr>
        <w:pStyle w:val="1"/>
        <w:spacing w:afterLines="100" w:beforeLines="100"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3023"/>
        <w:gridCol w:w="2922"/>
        <w:gridCol w:w="2923"/>
      </w:tblGrid>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kern w:val="0"/>
                <w:sz w:val="24"/>
              </w:rPr>
              <w:t>基金简称</w:t>
            </w:r>
          </w:p>
        </w:tc>
        <w:tc>
          <w:tcPr>
            <w:tcW w:type="dxa" w:w="5845"/>
            <w:gridSpan w:val="2"/>
            <w:vAlign w:val="center"/>
          </w:tcPr>
          <w:p w:rsidP="00281564" w:rsidR="00A805BC" w:rsidRDefault="00A805BC"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交银理财21天债券</w:t>
            </w:r>
          </w:p>
        </w:tc>
      </w:tr>
      <w:tr w:rsidR="00D06255" w:rsidRPr="000E4C40" w:rsidTr="00EA4C82">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kern w:val="0"/>
                <w:sz w:val="24"/>
              </w:rPr>
            </w:pPr>
            <w:r w:rsidRPr="000E4C40">
              <w:rPr>
                <w:rFonts w:hAnsi="宋体"/>
                <w:kern w:val="0"/>
                <w:sz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519716</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基金运作方式</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契约型开放式</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基金合同生效日</w:t>
            </w:r>
          </w:p>
        </w:tc>
        <w:tc>
          <w:tcPr>
            <w:tcW w:type="dxa" w:w="5845"/>
            <w:gridSpan w:val="2"/>
            <w:vAlign w:val="center"/>
          </w:tcPr>
          <w:p w:rsidP="00281564" w:rsidR="00A805BC" w:rsidRDefault="002507FE"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2012年11月5日</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报告期末基金份额总额</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20,255,464,261.75</w:t>
            </w:r>
            <w:r w:rsidR="00C2005E" w:rsidRPr="000E4C40">
              <w:rPr>
                <w:rFonts w:hAnsi="宋体"/>
                <w:color w:val="000000"/>
                <w:kern w:val="0"/>
                <w:sz w:val="24"/>
              </w:rPr>
              <w:t>份</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投资目标</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本基金在追求本金安全、保持资产流动性的基础上，努力追求绝对收益，为基金份额持有人谋求资产的稳定增值。</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投资策略</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业绩比较基准</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七天通知存款税后利率</w:t>
            </w:r>
          </w:p>
        </w:tc>
      </w:tr>
      <w:tr w:rsidR="00A01505" w:rsidRPr="000E4C40" w:rsidTr="00EA4C82">
        <w:trPr>
          <w:jc w:val="center"/>
        </w:trPr>
        <w:tc>
          <w:tcPr>
            <w:tcW w:type="dxa" w:w="3023"/>
            <w:vAlign w:val="center"/>
          </w:tcPr>
          <w:p w:rsidP="00281564" w:rsidR="00A01505" w:rsidRDefault="00A01505" w:rsidRPr="000E4C40">
            <w:pPr>
              <w:adjustRightInd w:val="0"/>
              <w:spacing w:before="29" w:line="288" w:lineRule="auto"/>
              <w:ind w:left="17"/>
              <w:jc w:val="left"/>
              <w:rPr>
                <w:kern w:val="0"/>
                <w:sz w:val="24"/>
              </w:rPr>
            </w:pPr>
            <w:r w:rsidRPr="000E4C40">
              <w:rPr>
                <w:rFonts w:hAnsi="宋体"/>
                <w:kern w:val="0"/>
                <w:sz w:val="24"/>
              </w:rPr>
              <w:t>风险收益特征</w:t>
            </w:r>
          </w:p>
        </w:tc>
        <w:tc>
          <w:tcPr>
            <w:tcW w:type="dxa" w:w="5845"/>
            <w:gridSpan w:val="2"/>
            <w:vAlign w:val="center"/>
          </w:tcPr>
          <w:p w:rsidP="00281564" w:rsidR="00A01505" w:rsidRDefault="00A01505"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proofErr w:type="spellStart"/>
            <w:r w:rsidRPr="000E4C40">
              <w:rPr>
                <w:color w:val="000000"/>
                <w:kern w:val="0"/>
                <w:sz w:val="24"/>
              </w:rPr>
              <w:t/>
            </w:r>
            <w:proofErr w:type="spellEnd"/>
            <w:r w:rsidRPr="000E4C40">
              <w:rPr>
                <w:color w:val="000000"/>
                <w:kern w:val="0"/>
                <w:sz w:val="24"/>
              </w:rPr>
              <w:t>本基金属于债券型证券投资基金，长期风险收益水平低于股票型基金、混合型基金，高于货币市场型证券投资基金。</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基金管理人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交银施罗德基金管理有限公司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基金托管人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中国农业银行股份有限公司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color w:val="000000"/>
                <w:sz w:val="24"/>
              </w:rPr>
              <w:t>下属两级基金的基金简称</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proofErr w:type="spellStart"/>
            <w:r w:rsidRPr="000E4C40">
              <w:rPr>
                <w:color w:val="000000"/>
                <w:kern w:val="0"/>
                <w:sz w:val="24"/>
              </w:rPr>
              <w:t/>
            </w:r>
            <w:r w:rsidRPr="000E4C40">
              <w:rPr>
                <w:sz w:val="24"/>
              </w:rPr>
              <w:t/>
            </w:r>
            <w:r w:rsidR="007B082A" w:rsidRPr="000E4C40">
              <w:rPr>
                <w:sz w:val="24"/>
              </w:rPr>
              <w:t/>
            </w:r>
            <w:r w:rsidRPr="000E4C40">
              <w:rPr>
                <w:sz w:val="24"/>
              </w:rPr>
              <w:t/>
            </w:r>
            <w:proofErr w:type="spellEnd"/>
            <w:r w:rsidRPr="000E4C40">
              <w:rPr>
                <w:sz w:val="24"/>
              </w:rPr>
              <w:t>交银理财21天债券A</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交银理财21天债券B</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proofErr w:type="spellStart"/>
            <w:r w:rsidRPr="000E4C40">
              <w:rPr>
                <w:color w:val="000000"/>
                <w:kern w:val="0"/>
                <w:sz w:val="24"/>
              </w:rPr>
              <w:t/>
            </w:r>
            <w:r w:rsidRPr="000E4C40">
              <w:rPr>
                <w:sz w:val="24"/>
              </w:rPr>
              <w:t/>
            </w:r>
            <w:r w:rsidR="007B082A" w:rsidRPr="000E4C40">
              <w:rPr>
                <w:sz w:val="24"/>
              </w:rPr>
              <w:t/>
            </w:r>
            <w:r w:rsidRPr="000E4C40">
              <w:rPr>
                <w:sz w:val="24"/>
              </w:rPr>
              <w:t/>
            </w:r>
            <w:proofErr w:type="spellEnd"/>
            <w:r w:rsidRPr="000E4C40">
              <w:rPr>
                <w:sz w:val="24"/>
              </w:rPr>
              <w:t>519716</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519717</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proofErr w:type="spellStart"/>
            <w:r w:rsidR="004702DF" w:rsidRPr="000E4C40">
              <w:rPr>
                <w:color w:val="000000"/>
                <w:kern w:val="0"/>
                <w:sz w:val="24"/>
              </w:rPr>
              <w:t/>
            </w:r>
            <w:r w:rsidRPr="000E4C40">
              <w:rPr>
                <w:sz w:val="24"/>
              </w:rPr>
              <w:t/>
            </w:r>
            <w:r w:rsidR="007B082A" w:rsidRPr="000E4C40">
              <w:rPr>
                <w:sz w:val="24"/>
              </w:rPr>
              <w:t/>
            </w:r>
            <w:r w:rsidRPr="000E4C40">
              <w:rPr>
                <w:sz w:val="24"/>
              </w:rPr>
              <w:t/>
            </w:r>
            <w:proofErr w:type="spellEnd"/>
            <w:r w:rsidRPr="000E4C40">
              <w:rPr>
                <w:sz w:val="24"/>
              </w:rPr>
              <w:t>11,381,247.00</w:t>
            </w:r>
            <w:r w:rsidR="00764CF7" w:rsidRPr="000E4C40">
              <w:rPr>
                <w:rFonts w:hAnsi="宋体"/>
                <w:sz w:val="24"/>
              </w:rPr>
              <w:t>份</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007B082A" w:rsidRPr="000E4C40">
              <w:rPr>
                <w:sz w:val="24"/>
              </w:rPr>
              <w:t/>
            </w:r>
            <w:r w:rsidR="000F78F3">
              <w:rPr>
                <w:sz w:val="24"/>
              </w:rPr>
              <w:t/>
            </w:r>
            <w:r w:rsidR="000F78F3">
              <w:rPr>
                <w:rFonts w:hint="eastAsia"/>
                <w:sz w:val="24"/>
              </w:rPr>
              <w:t/>
            </w:r>
            <w:r w:rsidRPr="000E4C40">
              <w:rPr>
                <w:sz w:val="24"/>
              </w:rPr>
              <w:t>20,244,083,014.75</w:t>
            </w:r>
            <w:r w:rsidR="004A6E66" w:rsidRPr="000E4C40">
              <w:rPr>
                <w:rFonts w:hAnsi="宋体"/>
                <w:sz w:val="24"/>
              </w:rPr>
              <w:t>份</w:t>
            </w:r>
          </w:p>
        </w:tc>
      </w:tr>
    </w:tbl>
    <w:p w:rsidP="00281564" w:rsidR="00DF2D90" w:rsidRDefault="00DF2D90" w:rsidRPr="000E4C40">
      <w:pPr>
        <w:autoSpaceDE w:val="0"/>
        <w:autoSpaceDN w:val="0"/>
        <w:adjustRightInd w:val="0"/>
        <w:spacing w:before="29" w:line="288" w:lineRule="auto"/>
        <w:jc w:val="left"/>
        <w:rPr>
          <w:color w:val="000000"/>
          <w:sz w:val="24"/>
        </w:rPr>
      </w:pPr>
    </w:p>
    <w:p w:rsidP="00841EB4" w:rsidR="00902E3F" w:rsidRDefault="00902E3F" w:rsidRPr="000E4C40">
      <w:pPr>
        <w:pStyle w:val="1"/>
        <w:spacing w:afterLines="100" w:beforeLines="100"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00"/>
      </w:tblPr>
      <w:tblGrid>
        <w:gridCol w:w="3606"/>
        <w:gridCol w:w="2631"/>
        <w:gridCol w:w="2631"/>
      </w:tblGrid>
      <w:tr w:rsidR="00F31380" w:rsidRPr="000E4C40" w:rsidTr="00AD2F16">
        <w:trPr>
          <w:jc w:val="center"/>
        </w:trPr>
        <w:tc>
          <w:tcPr>
            <w:tcW w:type="dxa" w:w="3402"/>
            <w:vMerge w:val="restart"/>
            <w:vAlign w:val="center"/>
          </w:tcPr>
          <w:p w:rsidP="00281564" w:rsidR="00F31380" w:rsidRDefault="00F31380" w:rsidRPr="000E4C40">
            <w:pPr>
              <w:adjustRightInd w:val="0"/>
              <w:spacing w:before="29" w:line="288" w:lineRule="auto"/>
              <w:ind w:left="17"/>
              <w:jc w:val="center"/>
              <w:rPr>
                <w:kern w:val="0"/>
                <w:sz w:val="24"/>
              </w:rPr>
            </w:pPr>
            <w:r w:rsidRPr="000E4C40">
              <w:rPr>
                <w:rFonts w:hAnsi="宋体"/>
                <w:kern w:val="0"/>
                <w:sz w:val="24"/>
              </w:rPr>
              <w:t>主要财务指标</w:t>
            </w:r>
          </w:p>
        </w:tc>
        <w:tc>
          <w:tcPr>
            <w:tcW w:type="dxa" w:w="4962"/>
            <w:gridSpan w:val="2"/>
            <w:vAlign w:val="center"/>
          </w:tcPr>
          <w:p w:rsidP="00281564" w:rsidR="00F31380" w:rsidRDefault="00F31380" w:rsidRPr="000E4C40">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w:t>
            </w:r>
            <w:proofErr w:type="spellStart"/>
            <w:r w:rsidRPr="000E4C40">
              <w:rPr>
                <w:color w:val="000000"/>
                <w:sz w:val="24"/>
              </w:rPr>
              <w:t/>
            </w:r>
            <w:proofErr w:type="spellEnd"/>
            <w:r w:rsidRPr="000E4C40">
              <w:rPr>
                <w:color w:val="000000"/>
                <w:sz w:val="24"/>
              </w:rPr>
              <w:t>2019年1月1日-</w:t>
            </w:r>
            <w:proofErr w:type="spellStart"/>
            <w:r w:rsidRPr="000E4C40">
              <w:rPr>
                <w:color w:val="000000"/>
                <w:sz w:val="24"/>
              </w:rPr>
              <w:t/>
            </w:r>
            <w:proofErr w:type="spellEnd"/>
            <w:r w:rsidRPr="000E4C40">
              <w:rPr>
                <w:color w:val="000000"/>
                <w:sz w:val="24"/>
              </w:rPr>
              <w:t>2019年3月31日)</w:t>
            </w:r>
          </w:p>
        </w:tc>
      </w:tr>
      <w:tr w:rsidR="00F31380" w:rsidRPr="000E4C40" w:rsidTr="00AD2F16">
        <w:trPr>
          <w:jc w:val="center"/>
        </w:trPr>
        <w:tc>
          <w:tcPr>
            <w:tcW w:type="dxa" w:w="3402"/>
            <w:vMerge/>
            <w:vAlign w:val="center"/>
          </w:tcPr>
          <w:p w:rsidP="00281564" w:rsidR="00F31380" w:rsidRDefault="00F31380" w:rsidRPr="000E4C40">
            <w:pPr>
              <w:adjustRightInd w:val="0"/>
              <w:spacing w:before="29" w:line="288" w:lineRule="auto"/>
              <w:ind w:left="17"/>
              <w:jc w:val="center"/>
              <w:rPr>
                <w:kern w:val="0"/>
                <w:sz w:val="24"/>
              </w:rPr>
            </w:pP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proofErr w:type="spellStart"/>
            <w:r w:rsidRPr="000E4C40">
              <w:rPr>
                <w:color w:val="000000"/>
                <w:kern w:val="0"/>
                <w:sz w:val="24"/>
              </w:rPr>
              <w:t/>
            </w:r>
            <w:r w:rsidRPr="000E4C40">
              <w:rPr>
                <w:sz w:val="24"/>
              </w:rPr>
              <w:t/>
            </w:r>
            <w:proofErr w:type="spellEnd"/>
            <w:r w:rsidRPr="000E4C40">
              <w:rPr>
                <w:sz w:val="24"/>
              </w:rPr>
              <w:t>交银理财21天债券A</w:t>
            </w: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000F78F3">
              <w:rPr>
                <w:sz w:val="24"/>
              </w:rPr>
              <w:t/>
            </w:r>
            <w:r w:rsidR="000F78F3">
              <w:rPr>
                <w:rFonts w:hint="eastAsia"/>
                <w:sz w:val="24"/>
              </w:rPr>
              <w:t/>
            </w:r>
            <w:r w:rsidRPr="000E4C40">
              <w:rPr>
                <w:sz w:val="24"/>
              </w:rPr>
              <w:t>交银理财21天债券B</w:t>
            </w:r>
          </w:p>
        </w:tc>
      </w:tr>
      <w:tr w:rsidR="00E8309D" w:rsidRPr="000E4C40" w:rsidTr="00AD2F16">
        <w:trPr>
          <w:trHeight w:val="840"/>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88,667.83</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173,274,524.23</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proofErr w:type="spellStart"/>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
            </w:r>
            <w:proofErr w:type="spellEnd"/>
            <w:r w:rsidRPr="000E4C40">
              <w:rPr>
                <w:color w:val="000000"/>
                <w:sz w:val="24"/>
              </w:rPr>
              <w:t>88,667.83</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173,274,524.23</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proofErr w:type="spellStart"/>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
            </w:r>
            <w:proofErr w:type="spellEnd"/>
            <w:r w:rsidRPr="000E4C40">
              <w:rPr>
                <w:color w:val="000000"/>
                <w:sz w:val="24"/>
              </w:rPr>
              <w:t>11,381,247.00</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20,244,083,014.75</w:t>
            </w:r>
          </w:p>
        </w:tc>
      </w:tr>
    </w:tbl>
    <w:p>
      <w:pPr>
        <w:autoSpaceDE w:val="0"/>
        <w:autoSpaceDN w:val="0"/>
        <w:adjustRightInd w:val="0"/>
        <w:spacing w:before="29" w:line="288" w:lineRule="auto"/>
        <w:jc w:val="left"/>
        <w:rPr>
          <w:color w:val="000000"/>
          <w:sz w:val="24"/>
        </w:rPr>
      </w:pPr>
      <w:r>
        <w:rPr>
          <w:color w:val="000000"/>
          <w:sz w:val="24"/>
        </w:rPr>
        <w:t>注：1、自2013年1月9日起，本基金实行销售服务费分类收费方式，分设两类基金份额：A类基金份额和B类基金份额。A类基金份额与B类基金份额的管理费、托管费相同，A类基金份额按照0.30%的年费率计提销售服务费，B类基金份额按照0.01%的年费率计提销售服务费。在计算主要财务指标时，A类基金份额与分类前基金连续计算，B类基金份额按新设基金计算；</w:t>
      </w:r>
    </w:p>
    <w:p w:rsidP="00281564" w:rsidR="00893021" w:rsidRDefault="00893021" w:rsidRPr="000E4C40">
      <w:pPr>
        <w:autoSpaceDE w:val="0"/>
        <w:autoSpaceDN w:val="0"/>
        <w:adjustRightInd w:val="0"/>
        <w:spacing w:before="29" w:line="288" w:lineRule="auto"/>
        <w:jc w:val="left"/>
        <w:rPr>
          <w:color w:val="000000"/>
          <w:sz w:val="24"/>
        </w:rPr>
      </w:pPr>
      <w:r w:rsidRPr="000E4C40">
        <w:rPr>
          <w:color w:val="000000"/>
          <w:sz w:val="24"/>
        </w:rPr>
        <w:t/>
      </w:r>
      <w:r w:rsidR="002507FE" w:rsidRPr="000E4C40">
        <w:rPr>
          <w:color w:val="000000"/>
          <w:sz w:val="24"/>
        </w:rPr>
        <w:t/>
      </w:r>
      <w:r w:rsidRPr="000E4C40">
        <w:rPr>
          <w:color w:val="000000"/>
          <w:sz w:val="24"/>
        </w:rPr>
        <w:t/>
      </w:r>
      <w:proofErr w:type="spellStart"/>
      <w:r w:rsidRPr="000E4C40">
        <w:rPr>
          <w:color w:val="000000"/>
          <w:sz w:val="24"/>
        </w:rPr>
        <w:t/>
      </w:r>
      <w:proofErr w:type="spellEnd"/>
      <w:r w:rsidRPr="000E4C40">
        <w:rPr>
          <w:color w:val="000000"/>
          <w:sz w:val="24"/>
        </w:rPr>
        <w:t xml:space="preserve">    2、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lastRenderedPageBreak/>
        <w:t xml:space="preserve">3.2.1 </w:t>
      </w:r>
      <w:r w:rsidRPr="000E4C40">
        <w:rPr>
          <w:rFonts w:hAnsi="宋体"/>
          <w:b/>
          <w:color w:val="000000"/>
          <w:kern w:val="0"/>
          <w:sz w:val="24"/>
        </w:rPr>
        <w:t>本报告期基金份额净值收益率及其与同期业绩比较基准收益率的比较</w:t>
      </w:r>
    </w:p>
    <w:p w:rsidP="00281564" w:rsidR="00DA1983"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24424F" w:rsidRPr="000E4C40">
        <w:rPr>
          <w:rFonts w:ascii="Times New Roman" w:hAnsi="Times New Roman"/>
          <w:b/>
          <w:color w:val="000000"/>
        </w:rPr>
        <w:t/>
      </w:r>
      <w:proofErr w:type="spellStart"/>
      <w:r w:rsidR="0024424F" w:rsidRPr="000E4C40">
        <w:rPr>
          <w:rFonts w:ascii="Times New Roman" w:hAnsi="Times New Roman"/>
          <w:b/>
          <w:color w:val="000000"/>
        </w:rPr>
        <w:t/>
      </w:r>
      <w:r w:rsidR="00063BA4" w:rsidRPr="000E4C40">
        <w:rPr>
          <w:rFonts w:ascii="Times New Roman" w:hAnsi="Times New Roman"/>
          <w:b/>
          <w:color w:val="000000"/>
          <w:kern w:val="0"/>
        </w:rPr>
        <w:t/>
      </w:r>
      <w:r w:rsidR="0024424F" w:rsidRPr="000E4C40">
        <w:rPr>
          <w:rFonts w:ascii="Times New Roman" w:hAnsi="Times New Roman"/>
          <w:b/>
          <w:color w:val="000000"/>
        </w:rPr>
        <w:t/>
      </w:r>
      <w:r w:rsidR="0024424F" w:rsidRPr="000E4C40">
        <w:rPr>
          <w:rFonts w:ascii="Times New Roman" w:hAnsi="Times New Roman"/>
          <w:b/>
          <w:color w:val="auto"/>
        </w:rPr>
        <w:t/>
      </w:r>
      <w:r w:rsidR="00E63B3D" w:rsidRPr="000E4C40">
        <w:rPr>
          <w:rFonts w:ascii="Times New Roman" w:hAnsi="Times New Roman"/>
          <w:b/>
          <w:color w:val="auto"/>
        </w:rPr>
        <w:t/>
      </w:r>
      <w:r w:rsidR="00834F7F" w:rsidRPr="000E4C40">
        <w:rPr>
          <w:rFonts w:ascii="Times New Roman" w:hAnsi="Times New Roman"/>
          <w:b/>
          <w:color w:val="auto"/>
        </w:rPr>
        <w:t/>
      </w:r>
      <w:proofErr w:type="spellEnd"/>
      <w:r w:rsidR="00834F7F" w:rsidRPr="000E4C40">
        <w:rPr>
          <w:rFonts w:ascii="Times New Roman" w:hAnsi="Times New Roman"/>
          <w:b/>
          <w:color w:val="auto"/>
        </w:rPr>
        <w:t>交银理财21天债券A</w:t>
      </w:r>
      <w:r w:rsidR="00834F7F" w:rsidRPr="000E4C40">
        <w:rPr>
          <w:rFonts w:ascii="Times New Roman"/>
          <w:b/>
          <w:color w:val="auto"/>
        </w:rPr>
        <w:t>：</w:t>
      </w:r>
    </w:p>
    <w:tbl>
      <w:tblPr>
        <w:tblStyle w:val="aa"/>
        <w:tblW w:type="dxa" w:w="8868"/>
        <w:jc w:val="center"/>
        <w:tblLayout w:type="fixed"/>
        <w:tblCellMar>
          <w:top w:type="dxa" w:w="57"/>
          <w:bottom w:type="dxa" w:w="57"/>
        </w:tblCellMar>
        <w:tblLook w:val="04A0"/>
      </w:tblPr>
      <w:tblGrid>
        <w:gridCol w:w="1266"/>
        <w:gridCol w:w="1267"/>
        <w:gridCol w:w="1267"/>
        <w:gridCol w:w="1267"/>
        <w:gridCol w:w="1267"/>
        <w:gridCol w:w="1267"/>
        <w:gridCol w:w="1267"/>
      </w:tblGrid>
      <w:tr w:rsidR="008B23BD" w:rsidRPr="000E4C40" w:rsidTr="0071688D">
        <w:trPr>
          <w:jc w:val="center"/>
        </w:trPr>
        <w:tc>
          <w:tcPr>
            <w:tcW w:type="dxa" w:w="1328"/>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00636B17" w:rsidRPr="000E4C40">
              <w:rPr>
                <w:rFonts w:ascii="Times New Roman" w:hAnsi="Times New Roman"/>
                <w:color w:val="000000"/>
                <w:szCs w:val="24"/>
              </w:rPr>
              <w:t/>
            </w:r>
            <w:proofErr w:type="spellStart"/>
            <w:r w:rsidR="00636B17" w:rsidRPr="000E4C40">
              <w:rPr>
                <w:rFonts w:ascii="Times New Roman" w:hAnsi="Times New Roman"/>
                <w:color w:val="000000"/>
                <w:szCs w:val="24"/>
              </w:rPr>
              <w:t/>
            </w:r>
            <w:proofErr w:type="spellEnd"/>
            <w:r w:rsidR="00636B17" w:rsidRPr="000E4C40">
              <w:rPr>
                <w:rFonts w:ascii="Times New Roman" w:hAnsi="Times New Roman"/>
                <w:color w:val="000000"/>
                <w:szCs w:val="24"/>
              </w:rPr>
              <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A575D2" w:rsidRPr="000E4C40">
              <w:rPr>
                <w:rFonts w:ascii="Times New Roman"/>
                <w:color w:val="000000"/>
              </w:rPr>
              <w:t>－</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0.7305%</w:t>
            </w:r>
          </w:p>
        </w:tc>
        <w:tc>
          <w:tcPr>
            <w:vAlign w:val="center"/>
          </w:tcPr>
          <w:p>
            <w:pPr>
              <w:jc w:val="center"/>
            </w:pPr>
            <w:r>
              <w:rPr>
                <w:rFonts w:ascii="Times New Roman" w:hAnsi="Times New Roman"/>
                <w:color w:val="000000"/>
              </w:rPr>
              <w:t>0.0016%</w:t>
            </w:r>
          </w:p>
        </w:tc>
        <w:tc>
          <w:tcPr>
            <w:vAlign w:val="center"/>
          </w:tcPr>
          <w:p>
            <w:pPr>
              <w:jc w:val="center"/>
            </w:pPr>
            <w:r>
              <w:rPr>
                <w:rFonts w:ascii="Times New Roman" w:hAnsi="Times New Roman"/>
                <w:color w:val="000000"/>
              </w:rPr>
              <w:t>0.3329%</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0.3976%</w:t>
            </w:r>
          </w:p>
        </w:tc>
        <w:tc>
          <w:tcPr>
            <w:vAlign w:val="center"/>
          </w:tcPr>
          <w:p>
            <w:pPr>
              <w:jc w:val="center"/>
            </w:pPr>
            <w:r>
              <w:rPr>
                <w:rFonts w:ascii="Times New Roman" w:hAnsi="Times New Roman"/>
                <w:color w:val="000000"/>
              </w:rPr>
              <w:t>0.0016%</w:t>
            </w:r>
          </w:p>
        </w:tc>
      </w:tr>
    </w:tbl>
    <w:p>
      <w:pPr>
        <w:autoSpaceDE w:val="0"/>
        <w:autoSpaceDN w:val="0"/>
        <w:adjustRightInd w:val="0"/>
        <w:spacing w:before="29" w:line="288" w:lineRule="auto"/>
        <w:jc w:val="left"/>
        <w:rPr>
          <w:color w:val="000000"/>
          <w:sz w:val="24"/>
        </w:rPr>
      </w:pPr>
      <w:r>
        <w:rPr>
          <w:color w:val="000000"/>
          <w:sz w:val="24"/>
        </w:rPr>
        <w:t>注：1、本表净值收益率数据所取的基金运作周期为基金合同生效日为起始日的运作周期。</w:t>
      </w:r>
    </w:p>
    <w:p w:rsidP="00281564" w:rsidR="00A50D92" w:rsidRDefault="00A50D92" w:rsidRPr="000E4C40">
      <w:pPr>
        <w:autoSpaceDE w:val="0"/>
        <w:autoSpaceDN w:val="0"/>
        <w:adjustRightInd w:val="0"/>
        <w:spacing w:before="29" w:line="288" w:lineRule="auto"/>
        <w:jc w:val="left"/>
        <w:rPr>
          <w:color w:val="000000"/>
          <w:sz w:val="24"/>
        </w:rPr>
      </w:pPr>
      <w:r w:rsidRPr="000E4C40">
        <w:rPr>
          <w:color w:val="000000"/>
          <w:sz w:val="24"/>
        </w:rPr>
        <w:t/>
      </w:r>
      <w:r w:rsidR="00ED5511" w:rsidRPr="000E4C40">
        <w:rPr>
          <w:color w:val="000000"/>
          <w:sz w:val="24"/>
        </w:rPr>
        <w:t/>
      </w:r>
      <w:r w:rsidRPr="000E4C40">
        <w:rPr>
          <w:color w:val="000000"/>
          <w:sz w:val="24"/>
        </w:rPr>
        <w:t xml:space="preserve">    2、本基金每日计算当日收益并分配，并在运作期期末集中支付。</w:t>
      </w:r>
    </w:p>
    <w:p w:rsidP="00281564" w:rsidR="00186667" w:rsidRDefault="00186667" w:rsidRPr="000E4C40">
      <w:pPr>
        <w:tabs>
          <w:tab w:pos="1800" w:val="left"/>
        </w:tabs>
        <w:adjustRightInd w:val="0"/>
        <w:spacing w:before="29" w:line="288" w:lineRule="auto"/>
        <w:rPr>
          <w:sz w:val="24"/>
        </w:rPr>
      </w:pPr>
    </w:p>
    <w:p w:rsidP="00281564" w:rsidR="00186667"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
      </w:r>
      <w:r w:rsidR="00063BA4" w:rsidRPr="000E4C40">
        <w:rPr>
          <w:rFonts w:ascii="Times New Roman" w:hAnsi="Times New Roman"/>
          <w:b/>
          <w:color w:val="000000"/>
          <w:kern w:val="0"/>
        </w:rPr>
        <w:t/>
      </w:r>
      <w:r w:rsidR="000B2044" w:rsidRPr="000E4C40">
        <w:rPr>
          <w:rFonts w:ascii="Times New Roman" w:hAnsi="Times New Roman"/>
          <w:b/>
          <w:color w:val="000000"/>
        </w:rPr>
        <w:t/>
      </w:r>
      <w:r w:rsidR="00E63B3D" w:rsidRPr="000E4C40">
        <w:rPr>
          <w:rFonts w:ascii="Times New Roman" w:hAnsi="Times New Roman"/>
          <w:b/>
          <w:color w:val="000000"/>
        </w:rPr>
        <w:t/>
      </w:r>
      <w:r w:rsidR="000F78F3">
        <w:rPr>
          <w:rFonts w:ascii="Times New Roman" w:hAnsi="Times New Roman" w:hint="eastAsia"/>
          <w:b/>
          <w:color w:val="000000"/>
        </w:rPr>
        <w:t/>
      </w:r>
      <w:r w:rsidR="000B2044" w:rsidRPr="000E4C40">
        <w:rPr>
          <w:rFonts w:ascii="Times New Roman" w:hAnsi="Times New Roman"/>
          <w:b/>
          <w:color w:val="000000"/>
        </w:rPr>
        <w:t>交银理财21天债券B</w:t>
      </w:r>
      <w:r w:rsidR="000B2044" w:rsidRPr="000E4C40">
        <w:rPr>
          <w:rFonts w:ascii="Times New Roman"/>
          <w:b/>
          <w:color w:val="auto"/>
        </w:rPr>
        <w:t>：</w:t>
      </w:r>
    </w:p>
    <w:tbl>
      <w:tblPr>
        <w:tblStyle w:val="aa"/>
        <w:tblW w:type="dxa" w:w="8868"/>
        <w:jc w:val="center"/>
        <w:tblLayout w:type="fixed"/>
        <w:tblCellMar>
          <w:top w:type="dxa" w:w="57"/>
          <w:bottom w:type="dxa" w:w="57"/>
        </w:tblCellMar>
        <w:tblLook w:val="04A0"/>
      </w:tblPr>
      <w:tblGrid>
        <w:gridCol w:w="1266"/>
        <w:gridCol w:w="1267"/>
        <w:gridCol w:w="1267"/>
        <w:gridCol w:w="1267"/>
        <w:gridCol w:w="1267"/>
        <w:gridCol w:w="1267"/>
        <w:gridCol w:w="1267"/>
      </w:tblGrid>
      <w:tr w:rsidR="00113777" w:rsidRPr="000E4C40" w:rsidTr="00064E6F">
        <w:trPr>
          <w:jc w:val="center"/>
        </w:trPr>
        <w:tc>
          <w:tcPr>
            <w:tcW w:type="dxa" w:w="1328"/>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Pr="000E4C40">
              <w:rPr>
                <w:rFonts w:ascii="Times New Roman" w:hAnsi="Times New Roman"/>
                <w:color w:val="000000"/>
                <w:szCs w:val="24"/>
              </w:rPr>
              <w:t/>
            </w:r>
            <w:proofErr w:type="spellStart"/>
            <w:r w:rsidRPr="000E4C40">
              <w:rPr>
                <w:rFonts w:ascii="Times New Roman" w:hAnsi="Times New Roman"/>
                <w:color w:val="000000"/>
                <w:szCs w:val="24"/>
              </w:rPr>
              <w:t/>
            </w:r>
            <w:proofErr w:type="spellEnd"/>
            <w:r w:rsidRPr="000E4C40">
              <w:rPr>
                <w:rFonts w:ascii="Times New Roman" w:hAnsi="Times New Roman"/>
                <w:color w:val="000000"/>
                <w:szCs w:val="24"/>
              </w:rPr>
              <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0.8026%</w:t>
            </w:r>
          </w:p>
        </w:tc>
        <w:tc>
          <w:tcPr>
            <w:vAlign w:val="center"/>
          </w:tcPr>
          <w:p>
            <w:pPr>
              <w:jc w:val="center"/>
            </w:pPr>
            <w:r>
              <w:rPr>
                <w:rFonts w:ascii="Times New Roman" w:hAnsi="Times New Roman"/>
                <w:color w:val="000000"/>
              </w:rPr>
              <w:t>0.0016%</w:t>
            </w:r>
          </w:p>
        </w:tc>
        <w:tc>
          <w:tcPr>
            <w:vAlign w:val="center"/>
          </w:tcPr>
          <w:p>
            <w:pPr>
              <w:jc w:val="center"/>
            </w:pPr>
            <w:r>
              <w:rPr>
                <w:rFonts w:ascii="Times New Roman" w:hAnsi="Times New Roman"/>
                <w:color w:val="000000"/>
              </w:rPr>
              <w:t>0.3329%</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0.4697%</w:t>
            </w:r>
          </w:p>
        </w:tc>
        <w:tc>
          <w:tcPr>
            <w:vAlign w:val="center"/>
          </w:tcPr>
          <w:p>
            <w:pPr>
              <w:jc w:val="center"/>
            </w:pPr>
            <w:r>
              <w:rPr>
                <w:rFonts w:ascii="Times New Roman" w:hAnsi="Times New Roman"/>
                <w:color w:val="000000"/>
              </w:rPr>
              <w:t>0.0016%</w:t>
            </w:r>
          </w:p>
        </w:tc>
      </w:tr>
    </w:tbl>
    <w:p>
      <w:pPr>
        <w:autoSpaceDE w:val="0"/>
        <w:autoSpaceDN w:val="0"/>
        <w:adjustRightInd w:val="0"/>
        <w:spacing w:before="29" w:line="288" w:lineRule="auto"/>
        <w:jc w:val="left"/>
        <w:rPr>
          <w:color w:val="000000"/>
          <w:sz w:val="24"/>
        </w:rPr>
      </w:pPr>
      <w:r>
        <w:rPr>
          <w:color w:val="000000"/>
          <w:sz w:val="24"/>
        </w:rPr>
        <w:t>注：1、本表净值收益率数据所取的基金运作周期为基金分类日为起始日的运作周期。</w:t>
      </w:r>
    </w:p>
    <w:p w:rsidP="00281564" w:rsidR="000B2044" w:rsidRDefault="000B2044" w:rsidRPr="000E4C40">
      <w:pPr>
        <w:autoSpaceDE w:val="0"/>
        <w:autoSpaceDN w:val="0"/>
        <w:adjustRightInd w:val="0"/>
        <w:spacing w:before="29" w:line="288" w:lineRule="auto"/>
        <w:jc w:val="left"/>
        <w:rPr>
          <w:color w:val="000000"/>
          <w:sz w:val="24"/>
        </w:rPr>
      </w:pPr>
      <w:r w:rsidRPr="000E4C40">
        <w:rPr>
          <w:color w:val="000000"/>
          <w:sz w:val="24"/>
        </w:rPr>
        <w:t/>
      </w:r>
      <w:r w:rsidR="00327FB0" w:rsidRPr="000E4C40">
        <w:rPr>
          <w:color w:val="000000"/>
          <w:sz w:val="24"/>
        </w:rPr>
        <w:t/>
      </w:r>
      <w:r w:rsidR="000F78F3">
        <w:rPr>
          <w:rFonts w:hint="eastAsia"/>
          <w:color w:val="000000"/>
          <w:sz w:val="24"/>
        </w:rPr>
        <w:t/>
      </w:r>
      <w:r w:rsidRPr="000E4C40">
        <w:rPr>
          <w:color w:val="000000"/>
          <w:sz w:val="24"/>
        </w:rPr>
        <w:t xml:space="preserve">    2、本基金每日计算当日收益并分配，并在运作期期末集中支付。</w:t>
      </w:r>
    </w:p>
    <w:p w:rsidP="00281564" w:rsidR="001F0286" w:rsidRDefault="001F0286" w:rsidRPr="000E4C40">
      <w:pPr>
        <w:tabs>
          <w:tab w:pos="1800" w:val="left"/>
        </w:tabs>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
      </w:r>
      <w:proofErr w:type="spellStart"/>
      <w:r w:rsidR="00A21753" w:rsidRPr="00D8505A">
        <w:rPr>
          <w:rFonts w:hint="eastAsia"/>
          <w:b/>
          <w:color w:val="000000"/>
          <w:kern w:val="0"/>
          <w:sz w:val="24"/>
        </w:rPr>
        <w:t/>
      </w:r>
      <w:proofErr w:type="spellEnd"/>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w:t>
      </w:r>
      <w:r w:rsidR="001B1302" w:rsidRPr="000E4C40">
        <w:rPr>
          <w:rFonts w:hAnsi="宋体"/>
          <w:b/>
          <w:color w:val="000000"/>
          <w:kern w:val="0"/>
          <w:sz w:val="24"/>
        </w:rPr>
        <w:lastRenderedPageBreak/>
        <w:t>较</w:t>
      </w:r>
    </w:p>
    <w:p w:rsidP="00281564" w:rsidR="00E63B3D" w:rsidRDefault="00E63B3D" w:rsidRPr="000E4C40">
      <w:pPr>
        <w:spacing w:before="29" w:line="288" w:lineRule="auto"/>
        <w:jc w:val="center"/>
        <w:rPr>
          <w:sz w:val="24"/>
        </w:rPr>
      </w:pPr>
      <w:r w:rsidRPr="000E4C40">
        <w:rPr>
          <w:sz w:val="24"/>
        </w:rPr>
        <w:t/>
      </w:r>
      <w:proofErr w:type="spellStart"/>
      <w:r w:rsidRPr="000E4C40">
        <w:rPr>
          <w:sz w:val="24"/>
        </w:rPr>
        <w:t/>
      </w:r>
      <w:proofErr w:type="spellEnd"/>
      <w:r w:rsidRPr="000E4C40">
        <w:rPr>
          <w:sz w:val="24"/>
        </w:rPr>
        <w:t>交银施罗德理财21天债券型证券投资基金</w:t>
      </w:r>
    </w:p>
    <w:p w:rsidP="00281564" w:rsidR="00E63B3D" w:rsidRDefault="00E27752" w:rsidRPr="000E4C40">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P="00281564" w:rsidR="00A7219D" w:rsidRDefault="00FF7214" w:rsidRPr="000E4C40">
      <w:pPr>
        <w:spacing w:before="29" w:line="288" w:lineRule="auto"/>
        <w:jc w:val="center"/>
        <w:rPr>
          <w:sz w:val="24"/>
        </w:rPr>
      </w:pPr>
      <w:r w:rsidRPr="000E4C40">
        <w:rPr>
          <w:rFonts w:hAnsi="宋体"/>
          <w:color w:val="000000"/>
          <w:sz w:val="24"/>
        </w:rPr>
        <w:t>（</w:t>
      </w:r>
      <w:r w:rsidR="00D87D00" w:rsidRPr="000E4C40">
        <w:rPr>
          <w:color w:val="000000"/>
          <w:kern w:val="0"/>
          <w:sz w:val="24"/>
        </w:rPr>
        <w:t/>
      </w:r>
      <w:proofErr w:type="spellStart"/>
      <w:r w:rsidR="00D87D00" w:rsidRPr="000E4C40">
        <w:rPr>
          <w:color w:val="000000"/>
          <w:kern w:val="0"/>
          <w:sz w:val="24"/>
        </w:rPr>
        <w:t/>
      </w:r>
      <w:proofErr w:type="spellEnd"/>
      <w:r w:rsidR="00D87D00" w:rsidRPr="000E4C40">
        <w:rPr>
          <w:color w:val="000000"/>
          <w:kern w:val="0"/>
          <w:sz w:val="24"/>
        </w:rPr>
        <w:t>2012年11月5日</w:t>
      </w:r>
      <w:r w:rsidR="00A7219D" w:rsidRPr="000E4C40">
        <w:rPr>
          <w:rFonts w:hAnsi="宋体"/>
          <w:color w:val="000000"/>
          <w:kern w:val="0"/>
          <w:sz w:val="24"/>
        </w:rPr>
        <w:t>至</w:t>
      </w:r>
      <w:r w:rsidR="00A7219D" w:rsidRPr="000E4C40">
        <w:rPr>
          <w:color w:val="000000"/>
          <w:kern w:val="0"/>
          <w:sz w:val="24"/>
        </w:rPr>
        <w:t/>
      </w:r>
      <w:proofErr w:type="spellStart"/>
      <w:r w:rsidR="00A7219D" w:rsidRPr="000E4C40">
        <w:rPr>
          <w:color w:val="000000"/>
          <w:kern w:val="0"/>
          <w:sz w:val="24"/>
        </w:rPr>
        <w:t/>
      </w:r>
      <w:proofErr w:type="spellEnd"/>
      <w:r w:rsidR="00A7219D" w:rsidRPr="000E4C40">
        <w:rPr>
          <w:color w:val="000000"/>
          <w:kern w:val="0"/>
          <w:sz w:val="24"/>
        </w:rPr>
        <w:t>2019年3月31日</w:t>
      </w:r>
      <w:r w:rsidRPr="000E4C40">
        <w:rPr>
          <w:rFonts w:hAnsi="宋体"/>
          <w:color w:val="000000"/>
          <w:sz w:val="24"/>
        </w:rPr>
        <w:t>）</w:t>
      </w:r>
    </w:p>
    <w:p w:rsidP="00281564" w:rsidR="00825EA5" w:rsidRDefault="00E63B3D" w:rsidRPr="000E4C40">
      <w:pPr>
        <w:numPr>
          <w:ilvl w:val="0"/>
          <w:numId w:val="1"/>
        </w:numPr>
        <w:snapToGrid w:val="0"/>
        <w:spacing w:before="29" w:line="288" w:lineRule="auto"/>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交银理财21天债券A</w:t>
      </w:r>
    </w:p>
    <w:p w:rsidP="00281564" w:rsidR="00E63B3D" w:rsidRDefault="00F14672" w:rsidRPr="000E4C40">
      <w:pPr>
        <w:tabs>
          <w:tab w:pos="0" w:val="left"/>
        </w:tabs>
        <w:spacing w:before="29" w:line="288" w:lineRule="auto"/>
        <w:jc w:val="center"/>
        <w:rPr>
          <w:color w:val="000000"/>
          <w:sz w:val="24"/>
        </w:rPr>
      </w:pPr>
      <w:r w:rsidRPr="000E4C40">
        <w:rPr>
          <w:noProof/>
          <w:color w:val="000000"/>
          <w:sz w:val="24"/>
        </w:rPr>
        <w:drawing>
          <wp:inline distB="0" distL="0" distR="0" distT="0">
            <wp:extent cx="5769610" cy="3378835"/>
            <wp:effectExtent b="0" l="19050" r="2540" t="0"/>
            <wp:docPr descr="走势图1.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69610" cy="3378835"/>
                    </a:xfrm>
                    <a:prstGeom prst="rect">
                      <a:avLst/>
                    </a:prstGeom>
                  </pic:spPr>
                </pic:pic>
              </a:graphicData>
            </a:graphic>
          </wp:inline>
        </w:drawing>
      </w:r>
    </w:p>
    <w:p w:rsidP="00281564" w:rsidR="00E63B3D" w:rsidRDefault="00E63B3D"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注：图示日期为2012年11月5日至2019年3月31日。本基金建仓期为自基金合同生效日起的6个月。截至建仓期结束，本基金各项资产配置比例符合基金合同及招募说明书有关投资比例的约定。</w:t>
      </w:r>
    </w:p>
    <w:p w:rsidP="00281564" w:rsidR="00825EA5" w:rsidRDefault="00825EA5" w:rsidRPr="000E4C40">
      <w:pPr>
        <w:adjustRightInd w:val="0"/>
        <w:snapToGrid w:val="0"/>
        <w:spacing w:before="29" w:line="288" w:lineRule="auto"/>
        <w:rPr>
          <w:color w:val="000000"/>
          <w:sz w:val="24"/>
        </w:rPr>
      </w:pPr>
    </w:p>
    <w:p w:rsidP="00281564" w:rsidR="00825EA5" w:rsidRDefault="00580560" w:rsidRPr="000E4C40">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0F78F3">
        <w:rPr>
          <w:color w:val="000000"/>
          <w:kern w:val="0"/>
          <w:sz w:val="24"/>
        </w:rPr>
        <w:t/>
      </w:r>
      <w:r w:rsidR="000F78F3">
        <w:rPr>
          <w:rFonts w:hint="eastAsia"/>
          <w:color w:val="000000"/>
          <w:kern w:val="0"/>
          <w:sz w:val="24"/>
        </w:rPr>
        <w:t/>
      </w:r>
      <w:r w:rsidR="005F668B" w:rsidRPr="000E4C40">
        <w:rPr>
          <w:color w:val="000000"/>
          <w:kern w:val="0"/>
          <w:sz w:val="24"/>
        </w:rPr>
        <w:t>交银理财21天债券B</w:t>
      </w:r>
    </w:p>
    <w:p w:rsidP="00281564" w:rsidR="005F668B" w:rsidRDefault="00F14672" w:rsidRPr="000E4C40">
      <w:pPr>
        <w:snapToGrid w:val="0"/>
        <w:spacing w:before="29" w:line="288" w:lineRule="auto"/>
        <w:jc w:val="center"/>
        <w:rPr>
          <w:color w:val="000000"/>
          <w:sz w:val="24"/>
        </w:rPr>
      </w:pPr>
      <w:r w:rsidRPr="000E4C40">
        <w:rPr>
          <w:noProof/>
          <w:color w:val="000000"/>
          <w:sz w:val="24"/>
        </w:rPr>
        <w:lastRenderedPageBreak/>
        <w:drawing>
          <wp:inline distB="0" distL="0" distR="0" distT="0">
            <wp:extent cx="5769610" cy="3378835"/>
            <wp:effectExtent b="0" l="19050" r="2540" t="0"/>
            <wp:docPr descr="走势图2.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69610" cy="3378835"/>
                    </a:xfrm>
                    <a:prstGeom prst="rect">
                      <a:avLst/>
                    </a:prstGeom>
                  </pic:spPr>
                </pic:pic>
              </a:graphicData>
            </a:graphic>
          </wp:inline>
        </w:drawing>
      </w:r>
    </w:p>
    <w:p w:rsidP="00281564" w:rsidR="00902E3F" w:rsidRDefault="005F668B"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
      </w:r>
      <w:r w:rsidR="000F78F3">
        <w:rPr>
          <w:color w:val="000000"/>
          <w:sz w:val="24"/>
        </w:rPr>
        <w:t/>
      </w:r>
      <w:r w:rsidR="000F78F3">
        <w:rPr>
          <w:rFonts w:hint="eastAsia"/>
          <w:color w:val="000000"/>
          <w:sz w:val="24"/>
        </w:rPr>
        <w:t/>
      </w:r>
      <w:r w:rsidRPr="000E4C40">
        <w:rPr>
          <w:color w:val="000000"/>
          <w:sz w:val="24"/>
        </w:rPr>
        <w:t>注：图示日期为2013年1月9日至2019年3月31日。本基金建仓期为自基金合同生效日起的6个月。截至建仓期结束，本基金各项资产配置比例符合基金合同及招募说明书有关投资比例的约定。</w:t>
      </w:r>
    </w:p>
    <w:p w:rsidP="00281564" w:rsidR="00CA65DD" w:rsidRDefault="00CA65DD" w:rsidRPr="000E4C40">
      <w:pPr>
        <w:tabs>
          <w:tab w:pos="1800" w:val="left"/>
        </w:tabs>
        <w:spacing w:before="29" w:line="288" w:lineRule="auto"/>
        <w:rPr>
          <w:color w:val="000000"/>
          <w:sz w:val="24"/>
        </w:rPr>
      </w:pPr>
    </w:p>
    <w:p w:rsidP="00841EB4" w:rsidR="00902E3F" w:rsidRDefault="00902E3F" w:rsidRPr="000E4C40">
      <w:pPr>
        <w:pStyle w:val="1"/>
        <w:spacing w:afterLines="100" w:beforeLines="100"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P="00281564" w:rsidR="00902E3F" w:rsidRDefault="00902E3F" w:rsidRPr="000E4C40">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val="04A0"/>
      </w:tblPr>
      <w:tblGrid>
        <w:gridCol w:w="945"/>
        <w:gridCol w:w="1589"/>
        <w:gridCol w:w="1478"/>
        <w:gridCol w:w="1478"/>
        <w:gridCol w:w="986"/>
        <w:gridCol w:w="2392"/>
      </w:tblGrid>
      <w:tr w:rsidR="00C4627A" w:rsidRPr="000E4C40" w:rsidTr="00951A65">
        <w:trPr>
          <w:jc w:val="center"/>
        </w:trPr>
        <w:tc>
          <w:tcPr>
            <w:tcW w:type="dxa" w:w="95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type="dxa" w:w="160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type="dxa" w:w="2977"/>
            <w:gridSpan w:val="2"/>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任本基金的基金经理期限</w:t>
            </w:r>
          </w:p>
        </w:tc>
        <w:tc>
          <w:tcPr>
            <w:tcW w:type="dxa" w:w="99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type="dxa" w:w="241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type="dxa" w:w="95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60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488"/>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type="dxa" w:w="1489"/>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type="dxa" w:w="99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241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黄莹洁</w:t>
            </w:r>
          </w:p>
        </w:tc>
        <w:tc>
          <w:tcPr>
            <w:vAlign w:val="center"/>
          </w:tcPr>
          <w:p>
            <w:pPr>
              <w:jc w:val="center"/>
            </w:pPr>
            <w:r>
              <w:rPr>
                <w:color w:val="000000"/>
                <w:sz w:val="24"/>
              </w:rPr>
              <w:t>交银货币、交银理财21天债券、交银现金宝货币、交银丰享收益债券、交银裕通纯债债券、交银活期通货币、交银天利宝货币、交银裕隆纯债债券、交银天鑫宝货币、交银天益宝货币、交银境尚收益债券、交银稳鑫短债债券的基金经理</w:t>
            </w:r>
          </w:p>
        </w:tc>
        <w:tc>
          <w:tcPr>
            <w:vAlign w:val="center"/>
          </w:tcPr>
          <w:p>
            <w:pPr>
              <w:jc w:val="center"/>
            </w:pPr>
            <w:r>
              <w:rPr>
                <w:color w:val="000000"/>
                <w:sz w:val="24"/>
              </w:rPr>
              <w:t>2015-05-27</w:t>
            </w:r>
          </w:p>
        </w:tc>
        <w:tc>
          <w:tcPr>
            <w:vAlign w:val="center"/>
          </w:tcPr>
          <w:p>
            <w:pPr>
              <w:jc w:val="center"/>
            </w:pPr>
            <w:r>
              <w:rPr>
                <w:color w:val="000000"/>
                <w:sz w:val="24"/>
              </w:rPr>
              <w:t>-</w:t>
            </w:r>
          </w:p>
        </w:tc>
        <w:tc>
          <w:tcPr>
            <w:vAlign w:val="center"/>
          </w:tcPr>
          <w:p>
            <w:pPr>
              <w:jc w:val="center"/>
            </w:pPr>
            <w:r>
              <w:rPr>
                <w:color w:val="000000"/>
                <w:sz w:val="24"/>
              </w:rPr>
              <w:t>11年</w:t>
            </w:r>
          </w:p>
        </w:tc>
        <w:tc>
          <w:tcPr>
            <w:vAlign w:val="center"/>
          </w:tcPr>
          <w:p>
            <w:pPr>
              <w:jc w:val="both"/>
            </w:pPr>
            <w:r>
              <w:rPr>
                <w:color w:val="000000"/>
                <w:sz w:val="24"/>
              </w:rPr>
              <w:t>黄莹洁女士，香港大学工商管理硕士、北京大学经济学、管理学双学士。历任中海基金管理有限公司交易员。2012年加入交银施罗德基金管理有限公司，历任中央交易室交易员。2015年7月25日至2018年3月18日担任交银施罗德丰泽收益债券型证券投资基金的基金经理。</w:t>
            </w:r>
          </w:p>
          <w:p>
            <w:pPr>
              <w:jc w:val="both"/>
            </w:pPr>
            <w:r>
              <w:rPr>
                <w:color w:val="000000"/>
                <w:sz w:val="24"/>
              </w:rPr>
              <w:t/>
            </w:r>
          </w:p>
          <w:p>
            <w:pPr>
              <w:jc w:val="both"/>
            </w:pPr>
            <w:r>
              <w:rPr>
                <w:color w:val="000000"/>
                <w:sz w:val="24"/>
              </w:rPr>
              <w:t>	</w:t>
            </w:r>
          </w:p>
        </w:tc>
      </w:tr>
    </w:tbl>
    <w:p w:rsidP="00281564" w:rsidR="00C4627A" w:rsidRDefault="00C4627A" w:rsidRPr="000E4C40">
      <w:pPr>
        <w:autoSpaceDE w:val="0"/>
        <w:autoSpaceDN w:val="0"/>
        <w:adjustRightInd w:val="0"/>
        <w:spacing w:before="29" w:line="288" w:lineRule="auto"/>
        <w:jc w:val="left"/>
        <w:rPr>
          <w:color w:val="000000"/>
          <w:sz w:val="24"/>
        </w:rPr>
      </w:pPr>
      <w:r w:rsidRPr="000E4C40">
        <w:rPr>
          <w:color w:val="000000"/>
          <w:sz w:val="24"/>
        </w:rPr>
        <w:t>注：基金经理（或基金经理小组）期后变动（如有）敬请关注基金管理人发布的相关公告。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P="00281564" w:rsidR="003F43EB" w:rsidRDefault="003F43EB" w:rsidRPr="000E4C40">
      <w:pPr>
        <w:spacing w:before="29" w:line="288" w:lineRule="auto"/>
        <w:rPr>
          <w:sz w:val="24"/>
        </w:rPr>
      </w:pPr>
      <w:r w:rsidRPr="000E4C40">
        <w:rPr>
          <w:sz w:val="24"/>
        </w:rPr>
        <w:t xml:space="preserve">4.3.1 </w:t>
      </w:r>
      <w:r w:rsidRPr="000E4C40">
        <w:rPr>
          <w:rFonts w:hAnsi="宋体"/>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报告期内本公司严格执行公平交易制度，公平对待旗下各投资组合，未发现任何违反公平交易的行为。</w:t>
      </w:r>
    </w:p>
    <w:p w:rsidP="00281564" w:rsidR="003F43EB" w:rsidRDefault="003F43EB" w:rsidRPr="000E4C40">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P="00281564" w:rsidR="00902E3F" w:rsidRDefault="00C4627A"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281564" w:rsidR="00BE5584" w:rsidRDefault="00BE5584" w:rsidRPr="000E4C40">
      <w:pPr>
        <w:autoSpaceDE w:val="0"/>
        <w:autoSpaceDN w:val="0"/>
        <w:adjustRightInd w:val="0"/>
        <w:spacing w:before="29" w:line="288" w:lineRule="auto"/>
        <w:jc w:val="left"/>
        <w:rPr>
          <w:color w:val="000000"/>
          <w:kern w:val="0"/>
          <w:sz w:val="24"/>
        </w:rPr>
      </w:pPr>
    </w:p>
    <w:p w:rsidP="00281564" w:rsidR="00323377" w:rsidRDefault="00B86A3F" w:rsidRPr="000E4C40">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国内经济的表现逐步向好，部分金融信贷数据企稳，通胀走高的担忧加剧。权益类资产的表现优于债券类资产，货币基金的收益率在短端利率的下行中进一步走低。货币政策方面，美联储在三月的会议纪要偏鸽派,市场进一步预期美联储将开始降息操作。同时央行在一月调降存款准备金率100bp，以对冲一季度的MLF到期，继续保持稳健偏宽松的态度。在降准的帮助下，货币市场资金在一季度保持了宽裕的状态，银行间隔夜利率基本在2.0-2.7%之间，七天和隔夜的利差进一步压缩至10-20bps。银行存单市场在三月上行并不明显，AAA评级的三个月存单在2.80-2.95%之间窄幅震荡。报告期内，三个月上海银行间拆借利率下行55bp到2.80%。</w:t>
      </w:r>
    </w:p>
    <w:p>
      <w:pPr>
        <w:spacing w:before="29" w:line="288" w:lineRule="auto"/>
        <w:ind w:firstLine="480" w:firstLineChars="200"/>
        <w:rPr>
          <w:color w:val="000000"/>
          <w:sz w:val="24"/>
        </w:rPr>
      </w:pPr>
      <w:r>
        <w:rPr>
          <w:color w:val="000000"/>
          <w:sz w:val="24"/>
        </w:rPr>
        <w:t>基金操作方面，多投资于估值波动较小的银行存款存单与回购等，组合整体流动性良好。季度末资产收益有一定幅度的上行，我们视组合流动性情况增加杠杆增配了部分高评级的同业存单、短期融资券等资产，提高了组合收益。</w:t>
      </w:r>
    </w:p>
    <w:p>
      <w:pPr>
        <w:spacing w:before="29" w:line="288" w:lineRule="auto"/>
        <w:ind w:firstLine="480" w:firstLineChars="200"/>
        <w:rPr>
          <w:color w:val="000000"/>
          <w:sz w:val="24"/>
        </w:rPr>
      </w:pPr>
      <w:r>
        <w:rPr>
          <w:color w:val="000000"/>
          <w:sz w:val="24"/>
        </w:rPr>
        <w:t>展望2019年二季度，我们将关注风险资产特别是股市在二季度的表现和其溢出效应，警惕中美贸易谈判可能出现的超预期影响，继续观察银行理财子公司的发展以及类货币型理财产品对行业生态的影响。我们认为，海外货币政策的逐步宽松，将打开国内政策的操作空间，货币政策应该会延续稳健宽松的状态，财政政策将会更加积极。</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本基金将根据不同资产收益率的动态变化，适时调整组合结构，根据期限利差动态调整组合杠杆率，通过对市场利率的前瞻性判断进行合理有效的久期管理，严格控制信用风险、流动性风险和利率风险，努力为持有人创造稳健的收益。</w:t>
      </w:r>
    </w:p>
    <w:p w:rsidP="00281564" w:rsidR="00FE3301" w:rsidRDefault="00FE3301" w:rsidRPr="000E4C40">
      <w:pPr>
        <w:spacing w:before="29" w:line="288" w:lineRule="auto"/>
        <w:ind w:firstLine="480" w:firstLineChars="200"/>
        <w:rPr>
          <w:color w:val="000000"/>
          <w:sz w:val="24"/>
        </w:rPr>
      </w:pPr>
    </w:p>
    <w:p w:rsidP="00281564" w:rsidR="00323377" w:rsidRDefault="00B86A3F" w:rsidRPr="000E4C40">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P="00281564" w:rsidR="00C4627A" w:rsidRDefault="00C4627A" w:rsidRPr="000E4C40">
      <w:pPr>
        <w:spacing w:before="29" w:line="288" w:lineRule="auto"/>
        <w:ind w:firstLine="480" w:firstLineChars="200"/>
        <w:rPr>
          <w:color w:val="000000"/>
          <w:sz w:val="24"/>
        </w:rPr>
      </w:pPr>
      <w:bookmarkStart w:id="0" w:name="_Toc255486598"/>
      <w:bookmarkStart w:id="1" w:name="_Toc245193825"/>
      <w:r w:rsidRPr="000E4C40">
        <w:rPr>
          <w:color w:val="000000"/>
          <w:sz w:val="24"/>
        </w:rPr>
        <w:t/>
      </w:r>
      <w:proofErr w:type="spellStart"/>
      <w:r w:rsidRPr="000E4C40">
        <w:rPr>
          <w:color w:val="000000"/>
          <w:sz w:val="24"/>
        </w:rPr>
        <w:t/>
      </w:r>
      <w:proofErr w:type="spellEnd"/>
      <w:r w:rsidRPr="000E4C40">
        <w:rPr>
          <w:color w:val="000000"/>
          <w:sz w:val="24"/>
        </w:rPr>
        <w:t>本基金（各类）份额净值及业绩表现请见“3.1 主要财务指标” 及“3.2.1本报告期基金份额净值增长率及其与同期业绩比较基准收益率的比较”部分披露。</w:t>
      </w:r>
    </w:p>
    <w:p w:rsidP="00281564" w:rsidR="00BE5584" w:rsidRDefault="00BE5584" w:rsidRPr="000E4C40">
      <w:pPr>
        <w:autoSpaceDE w:val="0"/>
        <w:autoSpaceDN w:val="0"/>
        <w:adjustRightInd w:val="0"/>
        <w:spacing w:before="29" w:line="288" w:lineRule="auto"/>
        <w:jc w:val="left"/>
        <w:rPr>
          <w:kern w:val="0"/>
          <w:sz w:val="24"/>
        </w:rPr>
      </w:pPr>
    </w:p>
    <w:bookmarkEnd w:id="0"/>
    <w:bookmarkEnd w:id="1"/>
    <w:p w:rsidP="0010236C" w:rsidR="0010236C" w:rsidRDefault="0010236C" w:rsidRPr="002070B4">
      <w:pPr>
        <w:autoSpaceDE w:val="0"/>
        <w:autoSpaceDN w:val="0"/>
        <w:adjustRightInd w:val="0"/>
        <w:spacing w:before="29" w:line="288" w:lineRule="auto"/>
        <w:jc w:val="left"/>
        <w:rPr>
          <w:b/>
          <w:color w:val="000000"/>
          <w:kern w:val="0"/>
          <w:sz w:val="24"/>
        </w:rPr>
      </w:pPr>
      <w:r w:rsidRPr="002070B4">
        <w:rPr>
          <w:b/>
          <w:color w:val="000000"/>
          <w:kern w:val="0"/>
          <w:sz w:val="24"/>
        </w:rPr>
        <w:t/>
      </w:r>
      <w:proofErr w:type="spellStart"/>
      <w:r w:rsidRPr="002070B4">
        <w:rPr>
          <w:b/>
          <w:color w:val="000000"/>
          <w:kern w:val="0"/>
          <w:sz w:val="24"/>
        </w:rPr>
        <w:t/>
      </w:r>
      <w:proofErr w:type="spellEnd"/>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10236C" w:rsidR="0010236C" w:rsidRDefault="0010236C">
      <w:pPr>
        <w:spacing w:before="29" w:line="288" w:lineRule="auto"/>
        <w:ind w:firstLine="480" w:firstLineChars="200"/>
        <w:rPr>
          <w:color w:val="000000"/>
          <w:sz w:val="24"/>
        </w:rPr>
      </w:pPr>
      <w:r w:rsidRPr="002070B4">
        <w:rPr>
          <w:color w:val="000000"/>
          <w:sz w:val="24"/>
        </w:rPr>
        <w:t>本基金本报告期内无需预警说明。</w:t>
      </w:r>
    </w:p>
    <w:p w:rsidP="0010236C" w:rsidR="0010236C" w:rsidRDefault="0010236C">
      <w:pPr>
        <w:spacing w:before="29" w:line="288" w:lineRule="auto"/>
        <w:ind w:firstLine="480" w:firstLineChars="200"/>
        <w:rPr>
          <w:color w:val="000000"/>
          <w:sz w:val="24"/>
        </w:rPr>
      </w:pPr>
    </w:p>
    <w:p w:rsidP="00841EB4" w:rsidR="00902E3F" w:rsidRDefault="00902E3F" w:rsidRPr="000E4C40">
      <w:pPr>
        <w:pStyle w:val="1"/>
        <w:spacing w:afterLines="100" w:beforeLines="100"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884"/>
        <w:gridCol w:w="3117"/>
        <w:gridCol w:w="3058"/>
        <w:gridCol w:w="1809"/>
      </w:tblGrid>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序号</w:t>
            </w:r>
          </w:p>
        </w:tc>
        <w:tc>
          <w:tcPr>
            <w:tcW w:type="dxa" w:w="3117"/>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项目</w:t>
            </w:r>
          </w:p>
        </w:tc>
        <w:tc>
          <w:tcPr>
            <w:tcW w:type="dxa" w:w="3058"/>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金额</w:t>
            </w:r>
            <w:r w:rsidR="00744E84" w:rsidRPr="000E4C40">
              <w:rPr>
                <w:rFonts w:hAnsi="宋体"/>
                <w:color w:val="000000"/>
                <w:kern w:val="0"/>
                <w:sz w:val="24"/>
              </w:rPr>
              <w:t>（元）</w:t>
            </w:r>
          </w:p>
        </w:tc>
        <w:tc>
          <w:tcPr>
            <w:tcW w:type="dxa" w:w="1809"/>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1</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固定收益投资</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13,877,282,878.35</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65.37</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其中：债券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13,689,602,878.35</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64.48</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autoSpaceDE w:val="0"/>
              <w:autoSpaceDN w:val="0"/>
              <w:adjustRightInd w:val="0"/>
              <w:spacing w:before="29" w:line="288" w:lineRule="auto"/>
              <w:ind w:firstLine="720" w:firstLineChars="300" w:left="17" w:leftChars="8"/>
              <w:jc w:val="left"/>
              <w:rPr>
                <w:color w:val="000000"/>
                <w:sz w:val="24"/>
              </w:rPr>
            </w:pPr>
            <w:r w:rsidRPr="000E4C40">
              <w:rPr>
                <w:rFonts w:hAnsi="宋体"/>
                <w:color w:val="000000"/>
                <w:sz w:val="24"/>
              </w:rPr>
              <w:t>资产支持证券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187,680,000.00</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0.88</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2</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其中：买断式回购的买入返售金融资产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3</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银行存款和结算备付金合计</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7,258,787,354.14</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34.19</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lastRenderedPageBreak/>
              <w:t/>
            </w:r>
            <w:r w:rsidR="00B4354A" w:rsidRPr="000E4C40">
              <w:rPr>
                <w:color w:val="000000"/>
                <w:sz w:val="24"/>
              </w:rPr>
              <w:t>4</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其他资产</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93,355,454.48</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0.44</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5</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合计</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21,229,425,686.97</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100.00</w:t>
            </w:r>
          </w:p>
        </w:tc>
      </w:tr>
    </w:tbl>
    <w:p w:rsidP="00281564" w:rsidR="004771B9" w:rsidRDefault="004771B9"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type="dxa" w:w="8868"/>
        <w:jc w:val="center"/>
        <w:tblLayout w:type="fixed"/>
        <w:tblLook w:val="0000"/>
      </w:tblPr>
      <w:tblGrid>
        <w:gridCol w:w="845"/>
        <w:gridCol w:w="3157"/>
        <w:gridCol w:w="2787"/>
        <w:gridCol w:w="2079"/>
      </w:tblGrid>
      <w:tr w:rsidR="007521F9" w:rsidRPr="000E4C40" w:rsidTr="00EF568A">
        <w:trPr>
          <w:jc w:val="center"/>
        </w:trPr>
        <w:tc>
          <w:tcPr>
            <w:tcW w:type="dxa" w:w="845"/>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项目</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901503" w:rsidRDefault="00901503" w:rsidRPr="000E4C40">
            <w:pPr>
              <w:spacing w:before="29" w:line="288" w:lineRule="auto"/>
              <w:jc w:val="center"/>
              <w:rPr>
                <w:color w:val="000000"/>
                <w:kern w:val="0"/>
                <w:sz w:val="24"/>
              </w:rPr>
            </w:pPr>
            <w:r w:rsidRPr="000E4C40">
              <w:rPr>
                <w:color w:val="000000"/>
                <w:kern w:val="0"/>
                <w:sz w:val="24"/>
              </w:rPr>
              <w:t>1</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报告期内债券回购融资余额</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5.70</w:t>
            </w:r>
          </w:p>
        </w:tc>
      </w:tr>
      <w:tr w:rsidR="00901503" w:rsidRPr="000E4C40" w:rsidTr="00EF568A">
        <w:trPr>
          <w:trHeight w:val="712"/>
          <w:jc w:val="center"/>
        </w:trPr>
        <w:tc>
          <w:tcPr>
            <w:tcW w:type="dxa" w:w="845"/>
            <w:vMerge/>
            <w:tcBorders>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其中：买断式回购融资</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w:t>
            </w:r>
          </w:p>
        </w:tc>
      </w:tr>
      <w:tr w:rsidR="007521F9" w:rsidRPr="000E4C40" w:rsidTr="00EF568A">
        <w:trPr>
          <w:jc w:val="center"/>
        </w:trPr>
        <w:tc>
          <w:tcPr>
            <w:tcW w:type="dxa" w:w="845"/>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sz w:val="24"/>
              </w:rPr>
              <w:t>项目</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sz w:val="24"/>
              </w:rPr>
              <w:t>金额</w:t>
            </w:r>
            <w:r w:rsidR="00410A6D" w:rsidRPr="000E4C40">
              <w:rPr>
                <w:rFonts w:hAnsi="宋体"/>
                <w:color w:val="000000"/>
                <w:kern w:val="0"/>
                <w:sz w:val="24"/>
              </w:rPr>
              <w:t>（元）</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color w:val="000000"/>
                <w:sz w:val="24"/>
              </w:rPr>
              <w:t>2</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报告期末债券回购融资余额</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
            </w:r>
            <w:proofErr w:type="spellStart"/>
            <w:r w:rsidRPr="000E4C40">
              <w:rPr>
                <w:sz w:val="24"/>
              </w:rPr>
              <w:t/>
            </w:r>
            <w:proofErr w:type="spellEnd"/>
            <w:r w:rsidRPr="000E4C40">
              <w:rPr>
                <w:sz w:val="24"/>
              </w:rPr>
              <w:t>950,054,124.97</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4.69</w:t>
            </w:r>
          </w:p>
        </w:tc>
      </w:tr>
      <w:tr w:rsidR="007521F9" w:rsidRPr="000E4C40" w:rsidTr="00EF568A">
        <w:trPr>
          <w:jc w:val="center"/>
        </w:trPr>
        <w:tc>
          <w:tcPr>
            <w:tcW w:type="dxa" w:w="845"/>
            <w:vMerge/>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其中：买断式回购融资</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
            </w:r>
            <w:proofErr w:type="spellStart"/>
            <w:r w:rsidRPr="000E4C40">
              <w:rPr>
                <w:sz w:val="24"/>
              </w:rPr>
              <w:t/>
            </w:r>
            <w:proofErr w:type="spellEnd"/>
            <w:r w:rsidRPr="000E4C40">
              <w:rPr>
                <w:sz w:val="24"/>
              </w:rPr>
              <w:t>-</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r>
    </w:tbl>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proofErr w:type="spellStart"/>
      <w:r w:rsidRPr="000E4C40">
        <w:rPr>
          <w:color w:val="000000"/>
          <w:sz w:val="24"/>
        </w:rPr>
        <w:t/>
      </w:r>
      <w:proofErr w:type="spellEnd"/>
      <w:r w:rsidRPr="000E4C40">
        <w:rPr>
          <w:color w:val="000000"/>
          <w:sz w:val="24"/>
        </w:rPr>
        <w:t>注：报告期内债券回购融资余额占基金资产净值的比例为报告期内每个银行间市场交易日融资余额占资产净值比例的简单平均值。</w:t>
      </w:r>
    </w:p>
    <w:p w:rsidP="00281564" w:rsidR="00DB2873" w:rsidRDefault="00DB2873" w:rsidRPr="000E4C40">
      <w:pPr>
        <w:spacing w:before="29" w:line="288" w:lineRule="auto"/>
        <w:rPr>
          <w:sz w:val="24"/>
        </w:rPr>
      </w:pPr>
    </w:p>
    <w:p w:rsidP="00281564" w:rsidR="004771B9" w:rsidRDefault="000D6294" w:rsidRPr="000E4C40">
      <w:pPr>
        <w:spacing w:before="29" w:line="288" w:lineRule="auto"/>
        <w:rPr>
          <w:b/>
          <w:color w:val="000000"/>
          <w:kern w:val="0"/>
          <w:sz w:val="24"/>
        </w:rPr>
      </w:pPr>
      <w:r w:rsidRPr="000E4C40">
        <w:rPr>
          <w:b/>
          <w:color w:val="000000"/>
          <w:kern w:val="0"/>
          <w:sz w:val="24"/>
        </w:rPr>
        <w:t/>
      </w:r>
      <w:r w:rsidR="004771B9" w:rsidRPr="000E4C40">
        <w:rPr>
          <w:rFonts w:hAnsi="宋体"/>
          <w:b/>
          <w:color w:val="000000"/>
          <w:kern w:val="0"/>
          <w:sz w:val="24"/>
        </w:rPr>
        <w:t>债券正回购的资金余额超过基金资产净值的</w:t>
      </w:r>
      <w:r w:rsidR="004771B9" w:rsidRPr="000E4C40">
        <w:rPr>
          <w:b/>
          <w:color w:val="000000"/>
          <w:kern w:val="0"/>
          <w:sz w:val="24"/>
        </w:rPr>
        <w:t>20</w:t>
      </w:r>
      <w:r w:rsidR="004771B9" w:rsidRPr="000E4C40">
        <w:rPr>
          <w:rFonts w:hAnsi="宋体"/>
          <w:b/>
          <w:color w:val="000000"/>
          <w:kern w:val="0"/>
          <w:sz w:val="24"/>
        </w:rPr>
        <w:t>％的说明</w:t>
      </w:r>
    </w:p>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t>本基金合同约定：“本基金进入全国银行间同业市场进行债券回购的资金余额不得超过基金资产净值的40%”。本报告期内，本基金未发生超标情况。</w:t>
      </w:r>
    </w:p>
    <w:p w:rsidP="00281564" w:rsidR="00902E3F" w:rsidRDefault="00902E3F" w:rsidRPr="000E4C40">
      <w:pPr>
        <w:spacing w:before="29" w:line="288" w:lineRule="auto"/>
        <w:rPr>
          <w:b/>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type="dxa" w:w="8868"/>
        <w:jc w:val="center"/>
        <w:tblLayout w:type="fixed"/>
        <w:tblLook w:val="0000"/>
      </w:tblPr>
      <w:tblGrid>
        <w:gridCol w:w="4427"/>
        <w:gridCol w:w="4441"/>
      </w:tblGrid>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114C97" w:rsidRPr="000E4C40">
              <w:rPr>
                <w:color w:val="000000"/>
                <w:kern w:val="0"/>
                <w:sz w:val="24"/>
              </w:rPr>
              <w:t/>
            </w:r>
            <w:proofErr w:type="spellStart"/>
            <w:r w:rsidR="00114C97" w:rsidRPr="000E4C40">
              <w:rPr>
                <w:color w:val="000000"/>
                <w:kern w:val="0"/>
                <w:sz w:val="24"/>
              </w:rPr>
              <w:t/>
            </w:r>
            <w:proofErr w:type="spellEnd"/>
            <w:r w:rsidR="00114C97" w:rsidRPr="000E4C40">
              <w:rPr>
                <w:color w:val="000000"/>
                <w:kern w:val="0"/>
                <w:sz w:val="24"/>
              </w:rPr>
              <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r w:rsidRPr="000E4C40">
              <w:rPr>
                <w:sz w:val="24"/>
              </w:rPr>
              <w:t/>
            </w:r>
            <w:proofErr w:type="spellEnd"/>
            <w:r w:rsidRPr="000E4C40">
              <w:rPr>
                <w:sz w:val="24"/>
              </w:rPr>
              <w:t>107</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color w:val="000000"/>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proofErr w:type="spellEnd"/>
            <w:r w:rsidRPr="000E4C40">
              <w:rPr>
                <w:color w:val="000000"/>
                <w:sz w:val="24"/>
              </w:rPr>
              <w:t>119</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r w:rsidRPr="000E4C40">
              <w:rPr>
                <w:sz w:val="24"/>
              </w:rPr>
              <w:t/>
            </w:r>
            <w:proofErr w:type="spellEnd"/>
            <w:r w:rsidRPr="000E4C40">
              <w:rPr>
                <w:sz w:val="24"/>
              </w:rPr>
              <w:t>66</w:t>
            </w:r>
          </w:p>
        </w:tc>
      </w:tr>
    </w:tbl>
    <w:p w:rsidP="00281564" w:rsidR="007521F9" w:rsidRDefault="007521F9" w:rsidRPr="000E4C40">
      <w:pPr>
        <w:spacing w:before="29" w:line="288" w:lineRule="auto"/>
        <w:rPr>
          <w:b/>
          <w:sz w:val="24"/>
        </w:rPr>
      </w:pPr>
    </w:p>
    <w:p w:rsidP="00281564" w:rsidR="007277D1" w:rsidRDefault="000D6294" w:rsidRPr="000E4C40">
      <w:pPr>
        <w:spacing w:before="29" w:line="288" w:lineRule="auto"/>
        <w:rPr>
          <w:b/>
          <w:color w:val="000000"/>
          <w:kern w:val="0"/>
          <w:sz w:val="24"/>
        </w:rPr>
      </w:pPr>
      <w:r w:rsidRPr="000E4C40">
        <w:rPr>
          <w:b/>
          <w:color w:val="000000"/>
          <w:kern w:val="0"/>
          <w:sz w:val="24"/>
        </w:rPr>
        <w:t/>
      </w:r>
      <w:r w:rsidR="007277D1" w:rsidRPr="000E4C40">
        <w:rPr>
          <w:rFonts w:hAnsi="宋体"/>
          <w:b/>
          <w:color w:val="000000"/>
          <w:kern w:val="0"/>
          <w:sz w:val="24"/>
        </w:rPr>
        <w:t>报告期内投资组合平均剩余期限超过</w:t>
      </w:r>
      <w:r w:rsidR="00F046FB">
        <w:rPr>
          <w:b/>
          <w:color w:val="000000"/>
          <w:kern w:val="0"/>
          <w:sz w:val="24"/>
        </w:rPr>
        <w:t>12</w:t>
      </w:r>
      <w:r w:rsidR="007277D1" w:rsidRPr="000E4C40">
        <w:rPr>
          <w:b/>
          <w:color w:val="000000"/>
          <w:kern w:val="0"/>
          <w:sz w:val="24"/>
        </w:rPr>
        <w:t>0</w:t>
      </w:r>
      <w:r w:rsidR="007277D1" w:rsidRPr="000E4C40">
        <w:rPr>
          <w:rFonts w:hAnsi="宋体"/>
          <w:b/>
          <w:color w:val="000000"/>
          <w:kern w:val="0"/>
          <w:sz w:val="24"/>
        </w:rPr>
        <w:t>天情况说明</w:t>
      </w:r>
    </w:p>
    <w:p w:rsidP="00281564" w:rsidR="007521F9" w:rsidRDefault="000E5695">
      <w:pPr>
        <w:adjustRightInd w:val="0"/>
        <w:spacing w:before="29" w:line="288" w:lineRule="auto"/>
        <w:rPr>
          <w:kern w:val="0"/>
          <w:sz w:val="24"/>
        </w:rPr>
      </w:pPr>
      <w:r w:rsidRPr="000E5695">
        <w:rPr>
          <w:kern w:val="0"/>
          <w:sz w:val="24"/>
        </w:rPr>
        <w:lastRenderedPageBreak/>
        <w:t>本基金合同约定：“本基金投资组合的平均剩余期限在每个交易日均不得超过141天”。本报告期内，本基金未发生超标情况。</w:t>
      </w:r>
    </w:p>
    <w:p w:rsidP="00281564" w:rsidR="000E5695" w:rsidRDefault="000E5695" w:rsidRPr="000E5695">
      <w:pPr>
        <w:adjustRightInd w:val="0"/>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type="dxa" w:w="8868"/>
        <w:jc w:val="center"/>
        <w:tblLayout w:type="fixed"/>
        <w:tblLook w:val="0000"/>
      </w:tblPr>
      <w:tblGrid>
        <w:gridCol w:w="829"/>
        <w:gridCol w:w="3240"/>
        <w:gridCol w:w="2447"/>
        <w:gridCol w:w="2352"/>
      </w:tblGrid>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r w:rsidR="00114C97" w:rsidRPr="000E4C40">
              <w:rPr>
                <w:color w:val="000000"/>
                <w:kern w:val="0"/>
                <w:sz w:val="24"/>
              </w:rPr>
              <w:t/>
            </w:r>
            <w:proofErr w:type="spellStart"/>
            <w:r w:rsidR="00114C97" w:rsidRPr="000E4C40">
              <w:rPr>
                <w:color w:val="000000"/>
                <w:kern w:val="0"/>
                <w:sz w:val="24"/>
              </w:rPr>
              <w:t/>
            </w:r>
            <w:proofErr w:type="spellEnd"/>
            <w:r w:rsidR="00114C97" w:rsidRPr="000E4C40">
              <w:rPr>
                <w:color w:val="000000"/>
                <w:kern w:val="0"/>
                <w:sz w:val="24"/>
              </w:rPr>
              <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7.54</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4.69</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13.85</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50.68</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
            </w:r>
            <w:r w:rsidRPr="000E4C40">
              <w:rPr>
                <w:color w:val="000000"/>
                <w:sz w:val="24"/>
              </w:rPr>
              <w:lastRenderedPageBreak/>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lastRenderedPageBreak/>
              <w:t>4</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0.84</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31.44</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type="dxa" w:w="4202"/>
            <w:gridSpan w:val="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rFonts w:hAnsi="宋体"/>
                <w:color w:val="000000"/>
                <w:sz w:val="24"/>
              </w:rPr>
              <w:t>合计</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
            </w:r>
            <w:proofErr w:type="spellStart"/>
            <w:r w:rsidRPr="000E4C40">
              <w:rPr>
                <w:color w:val="000000"/>
                <w:sz w:val="24"/>
              </w:rPr>
              <w:t/>
            </w:r>
            <w:proofErr w:type="spellEnd"/>
            <w:r w:rsidRPr="000E4C40">
              <w:rPr>
                <w:color w:val="000000"/>
                <w:sz w:val="24"/>
              </w:rPr>
              <w:t>104.35</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
            </w:r>
            <w:proofErr w:type="spellStart"/>
            <w:r w:rsidRPr="000E4C40">
              <w:rPr>
                <w:color w:val="000000"/>
                <w:sz w:val="24"/>
              </w:rPr>
              <w:t/>
            </w:r>
            <w:proofErr w:type="spellEnd"/>
            <w:r w:rsidRPr="000E4C40">
              <w:rPr>
                <w:color w:val="000000"/>
                <w:sz w:val="24"/>
              </w:rPr>
              <w:t>4.69</w:t>
            </w:r>
          </w:p>
        </w:tc>
      </w:tr>
    </w:tbl>
    <w:p w:rsidP="00281564" w:rsidR="00F046FB" w:rsidRDefault="00F046FB">
      <w:pPr>
        <w:spacing w:before="29" w:line="288" w:lineRule="auto"/>
        <w:rPr>
          <w:color w:val="000000"/>
          <w:kern w:val="0"/>
          <w:sz w:val="24"/>
        </w:rPr>
      </w:pPr>
    </w:p>
    <w:p w:rsidP="00F046FB" w:rsidR="00F046FB" w:rsidRDefault="00F046FB" w:rsidRPr="00F046FB">
      <w:pPr>
        <w:spacing w:line="360" w:lineRule="auto"/>
        <w:rPr>
          <w:rFonts w:ascii="宋体" w:cs="Arial" w:hAnsi="宋体"/>
          <w:b/>
          <w:bCs/>
          <w:color w:val="000000"/>
          <w:kern w:val="0"/>
          <w:sz w:val="24"/>
        </w:rPr>
      </w:pPr>
      <w:r w:rsidRPr="00F046FB">
        <w:rPr>
          <w:rFonts w:ascii="宋体" w:cs="Arial" w:hAnsi="宋体"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P="00F046FB" w:rsidR="00F046FB" w:rsidRDefault="00F046FB" w:rsidRPr="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本基金本报告期内投资组合平均剩余存续期未超过240天。</w:t>
      </w:r>
    </w:p>
    <w:p w:rsidP="00281564" w:rsidR="00F046FB" w:rsidRDefault="00F046FB" w:rsidRPr="00F046FB">
      <w:pPr>
        <w:spacing w:before="29" w:line="288" w:lineRule="auto"/>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786"/>
        <w:gridCol w:w="3096"/>
        <w:gridCol w:w="3097"/>
        <w:gridCol w:w="1889"/>
      </w:tblGrid>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序号</w:t>
            </w:r>
          </w:p>
        </w:tc>
        <w:tc>
          <w:tcPr>
            <w:tcW w:type="dxa" w:w="309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债券品种</w:t>
            </w:r>
            <w:r w:rsidR="006214E4" w:rsidRPr="000E4C40">
              <w:rPr>
                <w:color w:val="000000"/>
                <w:sz w:val="24"/>
              </w:rPr>
              <w:t/>
            </w:r>
            <w:proofErr w:type="spellStart"/>
            <w:r w:rsidR="006214E4" w:rsidRPr="000E4C40">
              <w:rPr>
                <w:color w:val="000000"/>
                <w:sz w:val="24"/>
              </w:rPr>
              <w:t/>
            </w:r>
            <w:proofErr w:type="spellEnd"/>
            <w:r w:rsidR="006214E4" w:rsidRPr="000E4C40">
              <w:rPr>
                <w:color w:val="000000"/>
                <w:sz w:val="24"/>
              </w:rPr>
              <w:t/>
            </w:r>
          </w:p>
        </w:tc>
        <w:tc>
          <w:tcPr>
            <w:tcW w:type="dxa" w:w="3097"/>
            <w:vAlign w:val="center"/>
          </w:tcPr>
          <w:p w:rsidP="00281564" w:rsidR="007521F9" w:rsidRDefault="003D21F4" w:rsidRPr="000E4C40">
            <w:pPr>
              <w:spacing w:before="29" w:line="288" w:lineRule="auto"/>
              <w:ind w:left="17"/>
              <w:jc w:val="center"/>
              <w:rPr>
                <w:color w:val="000000"/>
                <w:sz w:val="24"/>
              </w:rPr>
            </w:pPr>
            <w:r w:rsidRPr="000E4C40">
              <w:rPr>
                <w:rFonts w:hAnsi="宋体"/>
                <w:sz w:val="24"/>
              </w:rPr>
              <w:t>摊余成本（元）</w:t>
            </w:r>
          </w:p>
        </w:tc>
        <w:tc>
          <w:tcPr>
            <w:tcW w:type="dxa" w:w="1889"/>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1</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国家债券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99,593,781.34</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0.49</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2</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央行票据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3</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金融债券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922,564,587.24</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4.55</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其中：政策性金融债</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922,564,587.24</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4.55</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lastRenderedPageBreak/>
              <w:t>4</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5</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企业短期融资</w:t>
            </w:r>
            <w:r w:rsidR="00BC0205" w:rsidRPr="000E4C40">
              <w:rPr>
                <w:rFonts w:hAnsi="宋体"/>
                <w:color w:val="000000"/>
                <w:sz w:val="24"/>
              </w:rPr>
              <w:t>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4,501,256,473.12</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22.22</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6</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中期票据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171,448,862.61</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00D30BD3" w:rsidRPr="000E4C40">
              <w:rPr>
                <w:color w:val="000000"/>
                <w:sz w:val="24"/>
              </w:rPr>
              <w:t/>
            </w:r>
            <w:r w:rsidRPr="000E4C40">
              <w:rPr>
                <w:color w:val="000000"/>
                <w:sz w:val="24"/>
              </w:rPr>
              <w:t>0.85</w:t>
            </w:r>
          </w:p>
        </w:tc>
      </w:tr>
      <w:tr w:rsidR="00F41AA6" w:rsidRPr="000E4C40" w:rsidTr="0006711A">
        <w:trPr>
          <w:jc w:val="center"/>
        </w:trPr>
        <w:tc>
          <w:tcPr>
            <w:tcW w:type="dxa" w:w="786"/>
            <w:vAlign w:val="center"/>
          </w:tcPr>
          <w:p w:rsidP="0006711A" w:rsidR="00F41AA6" w:rsidRDefault="00F41AA6" w:rsidRPr="00432A2C">
            <w:pPr>
              <w:spacing w:before="29" w:line="288" w:lineRule="auto"/>
              <w:ind w:left="17"/>
              <w:jc w:val="center"/>
              <w:rPr>
                <w:color w:val="000000"/>
                <w:sz w:val="24"/>
              </w:rPr>
            </w:pPr>
            <w:r w:rsidRPr="00432A2C">
              <w:rPr>
                <w:rFonts w:hint="eastAsia"/>
                <w:color w:val="000000"/>
                <w:sz w:val="24"/>
              </w:rPr>
              <w:t>7</w:t>
            </w:r>
          </w:p>
        </w:tc>
        <w:tc>
          <w:tcPr>
            <w:tcW w:type="dxa" w:w="3096"/>
            <w:vAlign w:val="center"/>
          </w:tcPr>
          <w:p w:rsidP="0006711A" w:rsidR="00F41AA6" w:rsidRDefault="00F41AA6" w:rsidRPr="00432A2C">
            <w:pPr>
              <w:spacing w:before="29" w:line="288" w:lineRule="auto"/>
              <w:ind w:left="17"/>
              <w:jc w:val="left"/>
              <w:rPr>
                <w:color w:val="000000"/>
                <w:sz w:val="24"/>
              </w:rPr>
            </w:pPr>
            <w:r w:rsidRPr="00432A2C">
              <w:rPr>
                <w:rFonts w:hint="eastAsia"/>
                <w:color w:val="000000"/>
                <w:sz w:val="24"/>
              </w:rPr>
              <w:t>同业存单</w:t>
            </w:r>
          </w:p>
        </w:tc>
        <w:tc>
          <w:tcPr>
            <w:tcW w:type="dxa" w:w="3097"/>
            <w:vAlign w:val="center"/>
          </w:tcPr>
          <w:p w:rsidP="0006711A" w:rsidR="00F41AA6" w:rsidRDefault="00F41AA6" w:rsidRPr="00432A2C">
            <w:pPr>
              <w:spacing w:before="29" w:line="288" w:lineRule="auto"/>
              <w:ind w:left="17"/>
              <w:jc w:val="right"/>
              <w:rPr>
                <w:color w:val="000000"/>
                <w:sz w:val="24"/>
              </w:rPr>
            </w:pPr>
            <w:r w:rsidRPr="00432A2C">
              <w:rPr>
                <w:rFonts w:hint="eastAsia"/>
                <w:color w:val="000000"/>
                <w:sz w:val="24"/>
              </w:rPr>
              <w:t/>
            </w:r>
            <w:proofErr w:type="spellStart"/>
            <w:r w:rsidRPr="00432A2C">
              <w:rPr>
                <w:color w:val="000000"/>
                <w:sz w:val="24"/>
              </w:rPr>
              <w:t/>
            </w:r>
            <w:proofErr w:type="spellEnd"/>
            <w:r w:rsidRPr="00432A2C">
              <w:rPr>
                <w:rFonts w:hint="eastAsia"/>
                <w:color w:val="000000"/>
                <w:sz w:val="24"/>
              </w:rPr>
              <w:t>7,994,739,174.04</w:t>
            </w:r>
          </w:p>
        </w:tc>
        <w:tc>
          <w:tcPr>
            <w:tcW w:type="dxa" w:w="1889"/>
            <w:vAlign w:val="center"/>
          </w:tcPr>
          <w:p w:rsidP="0006711A" w:rsidR="00F41AA6" w:rsidRDefault="00F41AA6" w:rsidRPr="00432A2C">
            <w:pPr>
              <w:spacing w:before="29" w:line="288" w:lineRule="auto"/>
              <w:ind w:left="17"/>
              <w:jc w:val="right"/>
              <w:rPr>
                <w:color w:val="000000"/>
                <w:sz w:val="24"/>
              </w:rPr>
            </w:pPr>
            <w:r w:rsidRPr="00432A2C">
              <w:rPr>
                <w:rFonts w:hint="eastAsia"/>
                <w:color w:val="000000"/>
                <w:sz w:val="24"/>
              </w:rPr>
              <w:t/>
            </w:r>
            <w:proofErr w:type="spellStart"/>
            <w:r w:rsidRPr="00432A2C">
              <w:rPr>
                <w:color w:val="000000"/>
                <w:sz w:val="24"/>
              </w:rPr>
              <w:t/>
            </w:r>
            <w:proofErr w:type="spellEnd"/>
            <w:r w:rsidRPr="00432A2C">
              <w:rPr>
                <w:rFonts w:hint="eastAsia"/>
                <w:color w:val="000000"/>
                <w:sz w:val="24"/>
              </w:rPr>
              <w:t>39.47</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00855BA5">
              <w:rPr>
                <w:rFonts w:hint="eastAsia"/>
                <w:color w:val="000000"/>
                <w:sz w:val="24"/>
              </w:rPr>
              <w:t/>
            </w:r>
            <w:r w:rsidRPr="000E4C40">
              <w:rPr>
                <w:color w:val="000000"/>
                <w:sz w:val="24"/>
              </w:rPr>
              <w:t>8</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其他</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00855BA5">
              <w:rPr>
                <w:rFonts w:hint="eastAsia"/>
                <w:color w:val="000000"/>
                <w:sz w:val="24"/>
              </w:rPr>
              <w:t/>
            </w:r>
            <w:r w:rsidRPr="000E4C40">
              <w:rPr>
                <w:color w:val="000000"/>
                <w:sz w:val="24"/>
              </w:rPr>
              <w:t>9</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合计</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13,689,602,878.35</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r w:rsidRPr="000E4C40">
              <w:rPr>
                <w:color w:val="000000"/>
                <w:sz w:val="24"/>
              </w:rPr>
              <w:lastRenderedPageBreak/>
              <w:t/>
            </w:r>
            <w:proofErr w:type="spellEnd"/>
            <w:r w:rsidRPr="000E4C40">
              <w:rPr>
                <w:color w:val="000000"/>
                <w:sz w:val="24"/>
              </w:rPr>
              <w:t>67.58</w:t>
            </w:r>
          </w:p>
        </w:tc>
      </w:tr>
      <w:tr w:rsidR="00813897" w:rsidRPr="000E4C40" w:rsidTr="00F41AA6">
        <w:trPr>
          <w:jc w:val="center"/>
        </w:trPr>
        <w:tc>
          <w:tcPr>
            <w:tcW w:type="dxa" w:w="786"/>
            <w:vAlign w:val="center"/>
          </w:tcPr>
          <w:p w:rsidP="00855BA5" w:rsidR="00813897" w:rsidRDefault="00813897" w:rsidRPr="000E4C40">
            <w:pPr>
              <w:spacing w:before="29" w:line="288" w:lineRule="auto"/>
              <w:ind w:left="17"/>
              <w:jc w:val="center"/>
              <w:rPr>
                <w:color w:val="000000"/>
                <w:sz w:val="24"/>
              </w:rPr>
            </w:pPr>
            <w:r w:rsidRPr="000E4C40">
              <w:rPr>
                <w:color w:val="000000"/>
                <w:sz w:val="24"/>
              </w:rPr>
              <w:lastRenderedPageBreak/>
              <w:t/>
            </w:r>
            <w:r w:rsidR="00855BA5">
              <w:rPr>
                <w:rFonts w:hint="eastAsia"/>
                <w:color w:val="000000"/>
                <w:sz w:val="24"/>
              </w:rPr>
              <w:t/>
            </w:r>
            <w:r w:rsidRPr="000E4C40">
              <w:rPr>
                <w:color w:val="000000"/>
                <w:sz w:val="24"/>
              </w:rPr>
              <w:t>10</w:t>
            </w:r>
          </w:p>
        </w:tc>
        <w:tc>
          <w:tcPr>
            <w:tcW w:type="dxa" w:w="3096"/>
            <w:vAlign w:val="center"/>
          </w:tcPr>
          <w:p w:rsidP="00281564" w:rsidR="00813897" w:rsidRDefault="00813897" w:rsidRPr="000E4C40">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type="dxa" w:w="3097"/>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r>
    </w:tbl>
    <w:p w:rsidP="00281564" w:rsidR="007521F9" w:rsidRDefault="007521F9" w:rsidRPr="000E4C40">
      <w:pPr>
        <w:spacing w:before="29" w:line="288" w:lineRule="auto"/>
        <w:rPr>
          <w:b/>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5.6</w:t>
      </w:r>
      <w:r w:rsidR="00902E3F" w:rsidRPr="000E4C40">
        <w:rPr>
          <w:rFonts w:hAnsi="宋体"/>
          <w:b/>
          <w:color w:val="000000"/>
          <w:kern w:val="0"/>
          <w:sz w:val="24"/>
        </w:rPr>
        <w:t>报告期末按摊余成本占基金资产净值比例大小排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tbl>
      <w:tblPr>
        <w:tblStyle w:val="aa"/>
        <w:tblW w:type="dxa" w:w="8868"/>
        <w:jc w:val="center"/>
        <w:tblInd w:type="dxa" w:w="15"/>
        <w:tblCellMar>
          <w:top w:type="dxa" w:w="57"/>
          <w:bottom w:type="dxa" w:w="57"/>
        </w:tblCellMar>
        <w:tblLook w:val="04A0"/>
      </w:tblPr>
      <w:tblGrid>
        <w:gridCol w:w="1203"/>
        <w:gridCol w:w="1258"/>
        <w:gridCol w:w="1437"/>
        <w:gridCol w:w="1334"/>
        <w:gridCol w:w="2244"/>
        <w:gridCol w:w="1811"/>
      </w:tblGrid>
      <w:tr w:rsidR="0044671E" w:rsidRPr="000E4C40" w:rsidTr="00B13F60">
        <w:trPr>
          <w:jc w:val="center"/>
        </w:trPr>
        <w:tc>
          <w:tcPr>
            <w:tcW w:type="dxa" w:w="1187"/>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274"/>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type="dxa" w:w="1558"/>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type="dxa" w:w="1235"/>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p>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w:t>
            </w:r>
            <w:r w:rsidRPr="000E4C40">
              <w:rPr>
                <w:rFonts w:hAnsi="宋体"/>
                <w:color w:val="000000"/>
                <w:kern w:val="0"/>
                <w:sz w:val="24"/>
              </w:rPr>
              <w:t>张</w:t>
            </w:r>
            <w:r w:rsidRPr="000E4C40">
              <w:rPr>
                <w:color w:val="000000"/>
                <w:kern w:val="0"/>
                <w:sz w:val="24"/>
              </w:rPr>
              <w:t>)</w:t>
            </w:r>
          </w:p>
        </w:tc>
        <w:tc>
          <w:tcPr>
            <w:tcW w:type="dxa" w:w="2360"/>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摊余成本（元）</w:t>
            </w:r>
          </w:p>
        </w:tc>
        <w:tc>
          <w:tcPr>
            <w:tcW w:type="dxa" w:w="1673"/>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111872061</w:t>
            </w:r>
          </w:p>
        </w:tc>
        <w:tc>
          <w:tcPr>
            <w:vAlign w:val="center"/>
          </w:tcPr>
          <w:p>
            <w:pPr>
              <w:jc w:val="center"/>
            </w:pPr>
            <w:r>
              <w:rPr>
                <w:color w:val="000000"/>
                <w:sz w:val="24"/>
              </w:rPr>
              <w:t>18江阴农村商业银行CD110</w:t>
            </w:r>
          </w:p>
        </w:tc>
        <w:tc>
          <w:tcPr>
            <w:vAlign w:val="center"/>
          </w:tcPr>
          <w:p>
            <w:pPr>
              <w:jc w:val="right"/>
            </w:pPr>
            <w:r>
              <w:rPr>
                <w:color w:val="000000"/>
                <w:sz w:val="24"/>
              </w:rPr>
              <w:t>5,000,000</w:t>
            </w:r>
          </w:p>
        </w:tc>
        <w:tc>
          <w:tcPr>
            <w:vAlign w:val="center"/>
          </w:tcPr>
          <w:p>
            <w:pPr>
              <w:jc w:val="right"/>
            </w:pPr>
            <w:r>
              <w:rPr>
                <w:color w:val="000000"/>
                <w:sz w:val="24"/>
              </w:rPr>
              <w:t>495,998,278.74</w:t>
            </w:r>
          </w:p>
        </w:tc>
        <w:tc>
          <w:tcPr>
            <w:vAlign w:val="center"/>
          </w:tcPr>
          <w:p>
            <w:pPr>
              <w:jc w:val="right"/>
            </w:pPr>
            <w:r>
              <w:rPr>
                <w:color w:val="000000"/>
                <w:sz w:val="24"/>
              </w:rPr>
              <w:t>2.45</w:t>
            </w:r>
          </w:p>
        </w:tc>
      </w:tr>
      <w:tr>
        <w:tc>
          <w:tcPr>
            <w:vAlign w:val="center"/>
          </w:tcPr>
          <w:p>
            <w:pPr>
              <w:jc w:val="center"/>
            </w:pPr>
            <w:r>
              <w:rPr>
                <w:color w:val="000000"/>
                <w:sz w:val="24"/>
              </w:rPr>
              <w:t>2</w:t>
            </w:r>
          </w:p>
        </w:tc>
        <w:tc>
          <w:tcPr>
            <w:vAlign w:val="center"/>
          </w:tcPr>
          <w:p>
            <w:pPr>
              <w:jc w:val="center"/>
            </w:pPr>
            <w:r>
              <w:rPr>
                <w:color w:val="000000"/>
                <w:sz w:val="24"/>
              </w:rPr>
              <w:t>011802250</w:t>
            </w:r>
          </w:p>
        </w:tc>
        <w:tc>
          <w:tcPr>
            <w:vAlign w:val="center"/>
          </w:tcPr>
          <w:p>
            <w:pPr>
              <w:jc w:val="center"/>
            </w:pPr>
            <w:r>
              <w:rPr>
                <w:color w:val="000000"/>
                <w:sz w:val="24"/>
              </w:rPr>
              <w:t>18苏交通SCP020</w:t>
            </w:r>
          </w:p>
        </w:tc>
        <w:tc>
          <w:tcPr>
            <w:vAlign w:val="center"/>
          </w:tcPr>
          <w:p>
            <w:pPr>
              <w:jc w:val="right"/>
            </w:pPr>
            <w:r>
              <w:rPr>
                <w:color w:val="000000"/>
                <w:sz w:val="24"/>
              </w:rPr>
              <w:t>3,000,000</w:t>
            </w:r>
          </w:p>
        </w:tc>
        <w:tc>
          <w:tcPr>
            <w:vAlign w:val="center"/>
          </w:tcPr>
          <w:p>
            <w:pPr>
              <w:jc w:val="right"/>
            </w:pPr>
            <w:r>
              <w:rPr>
                <w:color w:val="000000"/>
                <w:sz w:val="24"/>
              </w:rPr>
              <w:t>300,080,775.81</w:t>
            </w:r>
          </w:p>
        </w:tc>
        <w:tc>
          <w:tcPr>
            <w:vAlign w:val="center"/>
          </w:tcPr>
          <w:p>
            <w:pPr>
              <w:jc w:val="right"/>
            </w:pPr>
            <w:r>
              <w:rPr>
                <w:color w:val="000000"/>
                <w:sz w:val="24"/>
              </w:rPr>
              <w:t>1.48</w:t>
            </w:r>
          </w:p>
        </w:tc>
      </w:tr>
      <w:tr>
        <w:tc>
          <w:tcPr>
            <w:vAlign w:val="center"/>
          </w:tcPr>
          <w:p>
            <w:pPr>
              <w:jc w:val="center"/>
            </w:pPr>
            <w:r>
              <w:rPr>
                <w:color w:val="000000"/>
                <w:sz w:val="24"/>
              </w:rPr>
              <w:t>3</w:t>
            </w:r>
          </w:p>
        </w:tc>
        <w:tc>
          <w:tcPr>
            <w:vAlign w:val="center"/>
          </w:tcPr>
          <w:p>
            <w:pPr>
              <w:jc w:val="center"/>
            </w:pPr>
            <w:r>
              <w:rPr>
                <w:color w:val="000000"/>
                <w:sz w:val="24"/>
              </w:rPr>
              <w:t>111994125</w:t>
            </w:r>
          </w:p>
        </w:tc>
        <w:tc>
          <w:tcPr>
            <w:vAlign w:val="center"/>
          </w:tcPr>
          <w:p>
            <w:pPr>
              <w:jc w:val="center"/>
            </w:pPr>
            <w:r>
              <w:rPr>
                <w:color w:val="000000"/>
                <w:sz w:val="24"/>
              </w:rPr>
              <w:t>19承德银行CD031</w:t>
            </w:r>
          </w:p>
        </w:tc>
        <w:tc>
          <w:tcPr>
            <w:vAlign w:val="center"/>
          </w:tcPr>
          <w:p>
            <w:pPr>
              <w:jc w:val="right"/>
            </w:pPr>
            <w:r>
              <w:rPr>
                <w:color w:val="000000"/>
                <w:sz w:val="24"/>
              </w:rPr>
              <w:t>3,000,000</w:t>
            </w:r>
          </w:p>
        </w:tc>
        <w:tc>
          <w:tcPr>
            <w:vAlign w:val="center"/>
          </w:tcPr>
          <w:p>
            <w:pPr>
              <w:jc w:val="right"/>
            </w:pPr>
            <w:r>
              <w:rPr>
                <w:color w:val="000000"/>
                <w:sz w:val="24"/>
              </w:rPr>
              <w:t>297,893,657.24</w:t>
            </w:r>
          </w:p>
        </w:tc>
        <w:tc>
          <w:tcPr>
            <w:vAlign w:val="center"/>
          </w:tcPr>
          <w:p>
            <w:pPr>
              <w:jc w:val="right"/>
            </w:pPr>
            <w:r>
              <w:rPr>
                <w:color w:val="000000"/>
                <w:sz w:val="24"/>
              </w:rPr>
              <w:t>1.47</w:t>
            </w:r>
          </w:p>
        </w:tc>
      </w:tr>
      <w:tr>
        <w:tc>
          <w:tcPr>
            <w:vAlign w:val="center"/>
          </w:tcPr>
          <w:p>
            <w:pPr>
              <w:jc w:val="center"/>
            </w:pPr>
            <w:r>
              <w:rPr>
                <w:color w:val="000000"/>
                <w:sz w:val="24"/>
              </w:rPr>
              <w:t>4</w:t>
            </w:r>
          </w:p>
        </w:tc>
        <w:tc>
          <w:tcPr>
            <w:vAlign w:val="center"/>
          </w:tcPr>
          <w:p>
            <w:pPr>
              <w:jc w:val="center"/>
            </w:pPr>
            <w:r>
              <w:rPr>
                <w:color w:val="000000"/>
                <w:sz w:val="24"/>
              </w:rPr>
              <w:t>111994206</w:t>
            </w:r>
          </w:p>
        </w:tc>
        <w:tc>
          <w:tcPr>
            <w:vAlign w:val="center"/>
          </w:tcPr>
          <w:p>
            <w:pPr>
              <w:jc w:val="center"/>
            </w:pPr>
            <w:r>
              <w:rPr>
                <w:color w:val="000000"/>
                <w:sz w:val="24"/>
              </w:rPr>
              <w:t>19承德银行CD032</w:t>
            </w:r>
          </w:p>
        </w:tc>
        <w:tc>
          <w:tcPr>
            <w:vAlign w:val="center"/>
          </w:tcPr>
          <w:p>
            <w:pPr>
              <w:jc w:val="right"/>
            </w:pPr>
            <w:r>
              <w:rPr>
                <w:color w:val="000000"/>
                <w:sz w:val="24"/>
              </w:rPr>
              <w:t>3,000,000</w:t>
            </w:r>
          </w:p>
        </w:tc>
        <w:tc>
          <w:tcPr>
            <w:vAlign w:val="center"/>
          </w:tcPr>
          <w:p>
            <w:pPr>
              <w:jc w:val="right"/>
            </w:pPr>
            <w:r>
              <w:rPr>
                <w:color w:val="000000"/>
                <w:sz w:val="24"/>
              </w:rPr>
              <w:t>297,863,192.59</w:t>
            </w:r>
          </w:p>
        </w:tc>
        <w:tc>
          <w:tcPr>
            <w:vAlign w:val="center"/>
          </w:tcPr>
          <w:p>
            <w:pPr>
              <w:jc w:val="right"/>
            </w:pPr>
            <w:r>
              <w:rPr>
                <w:color w:val="000000"/>
                <w:sz w:val="24"/>
              </w:rPr>
              <w:t>1.47</w:t>
            </w:r>
          </w:p>
        </w:tc>
      </w:tr>
      <w:tr>
        <w:tc>
          <w:tcPr>
            <w:vAlign w:val="center"/>
          </w:tcPr>
          <w:p>
            <w:pPr>
              <w:jc w:val="center"/>
            </w:pPr>
            <w:r>
              <w:rPr>
                <w:color w:val="000000"/>
                <w:sz w:val="24"/>
              </w:rPr>
              <w:t>5</w:t>
            </w:r>
          </w:p>
        </w:tc>
        <w:tc>
          <w:tcPr>
            <w:vAlign w:val="center"/>
          </w:tcPr>
          <w:p>
            <w:pPr>
              <w:jc w:val="center"/>
            </w:pPr>
            <w:r>
              <w:rPr>
                <w:color w:val="000000"/>
                <w:sz w:val="24"/>
              </w:rPr>
              <w:t>111872055</w:t>
            </w:r>
          </w:p>
        </w:tc>
        <w:tc>
          <w:tcPr>
            <w:vAlign w:val="center"/>
          </w:tcPr>
          <w:p>
            <w:pPr>
              <w:jc w:val="center"/>
            </w:pPr>
            <w:r>
              <w:rPr>
                <w:color w:val="000000"/>
                <w:sz w:val="24"/>
              </w:rPr>
              <w:t>18青岛农商行CD108</w:t>
            </w:r>
          </w:p>
        </w:tc>
        <w:tc>
          <w:tcPr>
            <w:vAlign w:val="center"/>
          </w:tcPr>
          <w:p>
            <w:pPr>
              <w:jc w:val="right"/>
            </w:pPr>
            <w:r>
              <w:rPr>
                <w:color w:val="000000"/>
                <w:sz w:val="24"/>
              </w:rPr>
              <w:t>3,000,000</w:t>
            </w:r>
          </w:p>
        </w:tc>
        <w:tc>
          <w:tcPr>
            <w:vAlign w:val="center"/>
          </w:tcPr>
          <w:p>
            <w:pPr>
              <w:jc w:val="right"/>
            </w:pPr>
            <w:r>
              <w:rPr>
                <w:color w:val="000000"/>
                <w:sz w:val="24"/>
              </w:rPr>
              <w:t>297,630,939.36</w:t>
            </w:r>
          </w:p>
        </w:tc>
        <w:tc>
          <w:tcPr>
            <w:vAlign w:val="center"/>
          </w:tcPr>
          <w:p>
            <w:pPr>
              <w:jc w:val="right"/>
            </w:pPr>
            <w:r>
              <w:rPr>
                <w:color w:val="000000"/>
                <w:sz w:val="24"/>
              </w:rPr>
              <w:t>1.47</w:t>
            </w:r>
          </w:p>
        </w:tc>
      </w:tr>
      <w:tr>
        <w:tc>
          <w:tcPr>
            <w:vAlign w:val="center"/>
          </w:tcPr>
          <w:p>
            <w:pPr>
              <w:jc w:val="center"/>
            </w:pPr>
            <w:r>
              <w:rPr>
                <w:color w:val="000000"/>
                <w:sz w:val="24"/>
              </w:rPr>
              <w:t>6</w:t>
            </w:r>
          </w:p>
        </w:tc>
        <w:tc>
          <w:tcPr>
            <w:vAlign w:val="center"/>
          </w:tcPr>
          <w:p>
            <w:pPr>
              <w:jc w:val="center"/>
            </w:pPr>
            <w:r>
              <w:rPr>
                <w:color w:val="000000"/>
                <w:sz w:val="24"/>
              </w:rPr>
              <w:t>180410</w:t>
            </w:r>
          </w:p>
        </w:tc>
        <w:tc>
          <w:tcPr>
            <w:vAlign w:val="center"/>
          </w:tcPr>
          <w:p>
            <w:pPr>
              <w:jc w:val="center"/>
            </w:pPr>
            <w:r>
              <w:rPr>
                <w:color w:val="000000"/>
                <w:sz w:val="24"/>
              </w:rPr>
              <w:t>18农发10</w:t>
            </w:r>
          </w:p>
        </w:tc>
        <w:tc>
          <w:tcPr>
            <w:vAlign w:val="center"/>
          </w:tcPr>
          <w:p>
            <w:pPr>
              <w:jc w:val="right"/>
            </w:pPr>
            <w:r>
              <w:rPr>
                <w:color w:val="000000"/>
                <w:sz w:val="24"/>
              </w:rPr>
              <w:t>2,700,000</w:t>
            </w:r>
          </w:p>
        </w:tc>
        <w:tc>
          <w:tcPr>
            <w:vAlign w:val="center"/>
          </w:tcPr>
          <w:p>
            <w:pPr>
              <w:jc w:val="right"/>
            </w:pPr>
            <w:r>
              <w:rPr>
                <w:color w:val="000000"/>
                <w:sz w:val="24"/>
              </w:rPr>
              <w:t>270,295,075.17</w:t>
            </w:r>
          </w:p>
        </w:tc>
        <w:tc>
          <w:tcPr>
            <w:vAlign w:val="center"/>
          </w:tcPr>
          <w:p>
            <w:pPr>
              <w:jc w:val="right"/>
            </w:pPr>
            <w:r>
              <w:rPr>
                <w:color w:val="000000"/>
                <w:sz w:val="24"/>
              </w:rPr>
              <w:t>1.33</w:t>
            </w:r>
          </w:p>
        </w:tc>
      </w:tr>
      <w:tr>
        <w:tc>
          <w:tcPr>
            <w:vAlign w:val="center"/>
          </w:tcPr>
          <w:p>
            <w:pPr>
              <w:jc w:val="center"/>
            </w:pPr>
            <w:r>
              <w:rPr>
                <w:color w:val="000000"/>
                <w:sz w:val="24"/>
              </w:rPr>
              <w:t>7</w:t>
            </w:r>
          </w:p>
        </w:tc>
        <w:tc>
          <w:tcPr>
            <w:vAlign w:val="center"/>
          </w:tcPr>
          <w:p>
            <w:pPr>
              <w:jc w:val="center"/>
            </w:pPr>
            <w:r>
              <w:rPr>
                <w:color w:val="000000"/>
                <w:sz w:val="24"/>
              </w:rPr>
              <w:t>111994274</w:t>
            </w:r>
          </w:p>
        </w:tc>
        <w:tc>
          <w:tcPr>
            <w:vAlign w:val="center"/>
          </w:tcPr>
          <w:p>
            <w:pPr>
              <w:jc w:val="center"/>
            </w:pPr>
            <w:r>
              <w:rPr>
                <w:color w:val="000000"/>
                <w:sz w:val="24"/>
              </w:rPr>
              <w:t>19萧山农商银行CD047</w:t>
            </w:r>
          </w:p>
        </w:tc>
        <w:tc>
          <w:tcPr>
            <w:vAlign w:val="center"/>
          </w:tcPr>
          <w:p>
            <w:pPr>
              <w:jc w:val="right"/>
            </w:pPr>
            <w:r>
              <w:rPr>
                <w:color w:val="000000"/>
                <w:sz w:val="24"/>
              </w:rPr>
              <w:t>2,100,000</w:t>
            </w:r>
          </w:p>
        </w:tc>
        <w:tc>
          <w:tcPr>
            <w:vAlign w:val="center"/>
          </w:tcPr>
          <w:p>
            <w:pPr>
              <w:jc w:val="right"/>
            </w:pPr>
            <w:r>
              <w:rPr>
                <w:color w:val="000000"/>
                <w:sz w:val="24"/>
              </w:rPr>
              <w:t>208,595,477.09</w:t>
            </w:r>
          </w:p>
        </w:tc>
        <w:tc>
          <w:tcPr>
            <w:vAlign w:val="center"/>
          </w:tcPr>
          <w:p>
            <w:pPr>
              <w:jc w:val="right"/>
            </w:pPr>
            <w:r>
              <w:rPr>
                <w:color w:val="000000"/>
                <w:sz w:val="24"/>
              </w:rPr>
              <w:t>1.03</w:t>
            </w:r>
          </w:p>
        </w:tc>
      </w:tr>
      <w:tr>
        <w:tc>
          <w:tcPr>
            <w:vAlign w:val="center"/>
          </w:tcPr>
          <w:p>
            <w:pPr>
              <w:jc w:val="center"/>
            </w:pPr>
            <w:r>
              <w:rPr>
                <w:color w:val="000000"/>
                <w:sz w:val="24"/>
              </w:rPr>
              <w:t>8</w:t>
            </w:r>
          </w:p>
        </w:tc>
        <w:tc>
          <w:tcPr>
            <w:vAlign w:val="center"/>
          </w:tcPr>
          <w:p>
            <w:pPr>
              <w:jc w:val="center"/>
            </w:pPr>
            <w:r>
              <w:rPr>
                <w:color w:val="000000"/>
                <w:sz w:val="24"/>
              </w:rPr>
              <w:t>011802182</w:t>
            </w:r>
          </w:p>
        </w:tc>
        <w:tc>
          <w:tcPr>
            <w:vAlign w:val="center"/>
          </w:tcPr>
          <w:p>
            <w:pPr>
              <w:jc w:val="center"/>
            </w:pPr>
            <w:r>
              <w:rPr>
                <w:color w:val="000000"/>
                <w:sz w:val="24"/>
              </w:rPr>
              <w:t>18招商局SCP008</w:t>
            </w:r>
          </w:p>
        </w:tc>
        <w:tc>
          <w:tcPr>
            <w:vAlign w:val="center"/>
          </w:tcPr>
          <w:p>
            <w:pPr>
              <w:jc w:val="right"/>
            </w:pPr>
            <w:r>
              <w:rPr>
                <w:color w:val="000000"/>
                <w:sz w:val="24"/>
              </w:rPr>
              <w:t>2,000,000</w:t>
            </w:r>
          </w:p>
        </w:tc>
        <w:tc>
          <w:tcPr>
            <w:vAlign w:val="center"/>
          </w:tcPr>
          <w:p>
            <w:pPr>
              <w:jc w:val="right"/>
            </w:pPr>
            <w:r>
              <w:rPr>
                <w:color w:val="000000"/>
                <w:sz w:val="24"/>
              </w:rPr>
              <w:t>200,308,524.51</w:t>
            </w:r>
          </w:p>
        </w:tc>
        <w:tc>
          <w:tcPr>
            <w:vAlign w:val="center"/>
          </w:tcPr>
          <w:p>
            <w:pPr>
              <w:jc w:val="right"/>
            </w:pPr>
            <w:r>
              <w:rPr>
                <w:color w:val="000000"/>
                <w:sz w:val="24"/>
              </w:rPr>
              <w:t>0.99</w:t>
            </w:r>
          </w:p>
        </w:tc>
      </w:tr>
      <w:tr>
        <w:tc>
          <w:tcPr>
            <w:vAlign w:val="center"/>
          </w:tcPr>
          <w:p>
            <w:pPr>
              <w:jc w:val="center"/>
            </w:pPr>
            <w:r>
              <w:rPr>
                <w:color w:val="000000"/>
                <w:sz w:val="24"/>
              </w:rPr>
              <w:t>9</w:t>
            </w:r>
          </w:p>
        </w:tc>
        <w:tc>
          <w:tcPr>
            <w:vAlign w:val="center"/>
          </w:tcPr>
          <w:p>
            <w:pPr>
              <w:jc w:val="center"/>
            </w:pPr>
            <w:r>
              <w:rPr>
                <w:color w:val="000000"/>
                <w:sz w:val="24"/>
              </w:rPr>
              <w:t>011802291</w:t>
            </w:r>
          </w:p>
        </w:tc>
        <w:tc>
          <w:tcPr>
            <w:vAlign w:val="center"/>
          </w:tcPr>
          <w:p>
            <w:pPr>
              <w:jc w:val="center"/>
            </w:pPr>
            <w:r>
              <w:rPr>
                <w:color w:val="000000"/>
                <w:sz w:val="24"/>
              </w:rPr>
              <w:t>18华能SCP014</w:t>
            </w:r>
          </w:p>
        </w:tc>
        <w:tc>
          <w:tcPr>
            <w:vAlign w:val="center"/>
          </w:tcPr>
          <w:p>
            <w:pPr>
              <w:jc w:val="right"/>
            </w:pPr>
            <w:r>
              <w:rPr>
                <w:color w:val="000000"/>
                <w:sz w:val="24"/>
              </w:rPr>
              <w:t>2,000,000</w:t>
            </w:r>
          </w:p>
        </w:tc>
        <w:tc>
          <w:tcPr>
            <w:vAlign w:val="center"/>
          </w:tcPr>
          <w:p>
            <w:pPr>
              <w:jc w:val="right"/>
            </w:pPr>
            <w:r>
              <w:rPr>
                <w:color w:val="000000"/>
                <w:sz w:val="24"/>
              </w:rPr>
              <w:t>199,912,476.87</w:t>
            </w:r>
          </w:p>
        </w:tc>
        <w:tc>
          <w:tcPr>
            <w:vAlign w:val="center"/>
          </w:tcPr>
          <w:p>
            <w:pPr>
              <w:jc w:val="right"/>
            </w:pPr>
            <w:r>
              <w:rPr>
                <w:color w:val="000000"/>
                <w:sz w:val="24"/>
              </w:rPr>
              <w:t>0.99</w:t>
            </w:r>
          </w:p>
        </w:tc>
      </w:tr>
      <w:tr>
        <w:tc>
          <w:tcPr>
            <w:vAlign w:val="center"/>
          </w:tcPr>
          <w:p>
            <w:pPr>
              <w:jc w:val="center"/>
            </w:pPr>
            <w:r>
              <w:rPr>
                <w:color w:val="000000"/>
                <w:sz w:val="24"/>
              </w:rPr>
              <w:t>10</w:t>
            </w:r>
          </w:p>
        </w:tc>
        <w:tc>
          <w:tcPr>
            <w:vAlign w:val="center"/>
          </w:tcPr>
          <w:p>
            <w:pPr>
              <w:jc w:val="center"/>
            </w:pPr>
            <w:r>
              <w:rPr>
                <w:color w:val="000000"/>
                <w:sz w:val="24"/>
              </w:rPr>
              <w:t>011802409</w:t>
            </w:r>
          </w:p>
        </w:tc>
        <w:tc>
          <w:tcPr>
            <w:vAlign w:val="center"/>
          </w:tcPr>
          <w:p>
            <w:pPr>
              <w:jc w:val="center"/>
            </w:pPr>
            <w:r>
              <w:rPr>
                <w:color w:val="000000"/>
                <w:sz w:val="24"/>
              </w:rPr>
              <w:t>18苏交通SCP024</w:t>
            </w:r>
          </w:p>
        </w:tc>
        <w:tc>
          <w:tcPr>
            <w:vAlign w:val="center"/>
          </w:tcPr>
          <w:p>
            <w:pPr>
              <w:jc w:val="right"/>
            </w:pPr>
            <w:r>
              <w:rPr>
                <w:color w:val="000000"/>
                <w:sz w:val="24"/>
              </w:rPr>
              <w:t>2,000,000</w:t>
            </w:r>
          </w:p>
        </w:tc>
        <w:tc>
          <w:tcPr>
            <w:vAlign w:val="center"/>
          </w:tcPr>
          <w:p>
            <w:pPr>
              <w:jc w:val="right"/>
            </w:pPr>
            <w:r>
              <w:rPr>
                <w:color w:val="000000"/>
                <w:sz w:val="24"/>
              </w:rPr>
              <w:t>199,891,369.03</w:t>
            </w:r>
          </w:p>
        </w:tc>
        <w:tc>
          <w:tcPr>
            <w:vAlign w:val="center"/>
          </w:tcPr>
          <w:p>
            <w:pPr>
              <w:jc w:val="right"/>
            </w:pPr>
            <w:r>
              <w:rPr>
                <w:color w:val="000000"/>
                <w:sz w:val="24"/>
              </w:rPr>
              <w:t>0.99</w:t>
            </w:r>
          </w:p>
        </w:tc>
      </w:tr>
    </w:tbl>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type="dxa" w:w="8868"/>
        <w:jc w:val="center"/>
        <w:tblLayout w:type="fixed"/>
        <w:tblLook w:val="0000"/>
      </w:tblPr>
      <w:tblGrid>
        <w:gridCol w:w="5604"/>
        <w:gridCol w:w="3264"/>
      </w:tblGrid>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6D4647" w:rsidRPr="000E4C40">
              <w:rPr>
                <w:color w:val="000000"/>
                <w:kern w:val="0"/>
                <w:sz w:val="24"/>
              </w:rPr>
              <w:t/>
            </w:r>
            <w:proofErr w:type="spellStart"/>
            <w:r w:rsidR="006D4647" w:rsidRPr="000E4C40">
              <w:rPr>
                <w:color w:val="000000"/>
                <w:kern w:val="0"/>
                <w:sz w:val="24"/>
              </w:rPr>
              <w:t/>
            </w:r>
            <w:proofErr w:type="spellEnd"/>
            <w:r w:rsidR="006D4647" w:rsidRPr="000E4C40">
              <w:rPr>
                <w:color w:val="000000"/>
                <w:kern w:val="0"/>
                <w:sz w:val="24"/>
              </w:rPr>
              <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w:t>
            </w:r>
            <w:r w:rsidR="006D4647" w:rsidRPr="000E4C40">
              <w:rPr>
                <w:rFonts w:hAnsi="宋体"/>
                <w:color w:val="000000"/>
                <w:sz w:val="24"/>
              </w:rPr>
              <w:t>次</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报告期内偏离度的最高值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proofErr w:type="spellStart"/>
            <w:r w:rsidRPr="000E4C40">
              <w:rPr>
                <w:color w:val="000000"/>
                <w:sz w:val="24"/>
              </w:rPr>
              <w:t/>
            </w:r>
            <w:r w:rsidRPr="000E4C40">
              <w:rPr>
                <w:color w:val="000000"/>
                <w:sz w:val="24"/>
              </w:rPr>
              <w:lastRenderedPageBreak/>
              <w:t/>
            </w:r>
            <w:proofErr w:type="spellEnd"/>
            <w:r w:rsidRPr="000E4C40">
              <w:rPr>
                <w:color w:val="000000"/>
                <w:sz w:val="24"/>
              </w:rPr>
              <w:t>0.2241%</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报告期内偏离度的最低值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proofErr w:type="spellStart"/>
            <w:r w:rsidRPr="000E4C40">
              <w:rPr>
                <w:color w:val="000000"/>
                <w:sz w:val="24"/>
              </w:rPr>
              <w:t/>
            </w:r>
            <w:proofErr w:type="spellEnd"/>
            <w:r w:rsidRPr="000E4C40">
              <w:rPr>
                <w:color w:val="000000"/>
                <w:sz w:val="24"/>
              </w:rPr>
              <w:t>0.1210%</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0.1749%</w:t>
            </w:r>
          </w:p>
        </w:tc>
      </w:tr>
    </w:tbl>
    <w:p w:rsidP="00281564" w:rsidR="00BE5584" w:rsidRDefault="00BE5584">
      <w:pPr>
        <w:autoSpaceDE w:val="0"/>
        <w:autoSpaceDN w:val="0"/>
        <w:adjustRightInd w:val="0"/>
        <w:spacing w:before="29" w:line="288" w:lineRule="auto"/>
        <w:jc w:val="left"/>
        <w:rPr>
          <w:color w:val="000000"/>
          <w:kern w:val="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报告期内负偏离度的绝对值达到0.25%情况说明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本基金本报告期内未存在负偏离度的绝对值达到0.25%的情况。</w:t>
      </w:r>
    </w:p>
    <w:p w:rsidP="002304D5" w:rsidR="002304D5" w:rsidRDefault="002304D5" w:rsidRPr="002304D5">
      <w:pPr>
        <w:autoSpaceDE w:val="0"/>
        <w:autoSpaceDN w:val="0"/>
        <w:adjustRightInd w:val="0"/>
        <w:spacing w:line="360" w:lineRule="auto"/>
        <w:jc w:val="left"/>
        <w:rPr>
          <w:rFonts w:ascii="宋体" w:hAnsi="宋体"/>
          <w:color w:val="00000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报告期内正偏离度的绝对值达到0.5%情况说明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本基金本报告期内未存在正偏离度的绝对值达到0.5%的情况。</w:t>
      </w:r>
    </w:p>
    <w:p w:rsidP="00281564" w:rsidR="002304D5" w:rsidRDefault="002304D5" w:rsidRPr="002304D5">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tbl>
      <w:tblPr>
        <w:tblStyle w:val="aa"/>
        <w:tblW w:type="dxa" w:w="8868"/>
        <w:jc w:val="center"/>
        <w:tblCellMar>
          <w:top w:type="dxa" w:w="57"/>
          <w:bottom w:type="dxa" w:w="57"/>
        </w:tblCellMar>
        <w:tblLook w:val="04A0"/>
      </w:tblPr>
      <w:tblGrid>
        <w:gridCol w:w="1465"/>
        <w:gridCol w:w="1464"/>
        <w:gridCol w:w="1464"/>
        <w:gridCol w:w="1567"/>
        <w:gridCol w:w="1567"/>
        <w:gridCol w:w="1775"/>
      </w:tblGrid>
      <w:tr w:rsidR="00BF1111" w:rsidRPr="000E4C40" w:rsidTr="00B13F60">
        <w:trPr>
          <w:jc w:val="center"/>
        </w:trPr>
        <w:tc>
          <w:tcPr>
            <w:tcW w:type="dxa" w:w="1547"/>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证券代码</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证券名称</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数量</w:t>
            </w:r>
            <w:r w:rsidRPr="000E4C40">
              <w:rPr>
                <w:color w:val="000000"/>
                <w:kern w:val="0"/>
                <w:sz w:val="24"/>
              </w:rPr>
              <w:t>(</w:t>
            </w:r>
            <w:r w:rsidRPr="000E4C40">
              <w:rPr>
                <w:rFonts w:hAnsi="宋体"/>
                <w:color w:val="000000"/>
                <w:kern w:val="0"/>
                <w:sz w:val="24"/>
              </w:rPr>
              <w:t>份</w:t>
            </w:r>
            <w:r w:rsidRPr="000E4C40">
              <w:rPr>
                <w:color w:val="000000"/>
                <w:kern w:val="0"/>
                <w:sz w:val="24"/>
              </w:rPr>
              <w:t>)</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公允价值</w:t>
            </w:r>
            <w:r w:rsidRPr="000E4C40">
              <w:rPr>
                <w:color w:val="000000"/>
                <w:kern w:val="0"/>
                <w:sz w:val="24"/>
              </w:rPr>
              <w:t>(</w:t>
            </w:r>
            <w:r w:rsidRPr="000E4C40">
              <w:rPr>
                <w:rFonts w:hAnsi="宋体"/>
                <w:color w:val="000000"/>
                <w:kern w:val="0"/>
                <w:sz w:val="24"/>
              </w:rPr>
              <w:t>元</w:t>
            </w:r>
            <w:r w:rsidRPr="000E4C40">
              <w:rPr>
                <w:color w:val="000000"/>
                <w:kern w:val="0"/>
                <w:sz w:val="24"/>
              </w:rPr>
              <w:t>)</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156794</w:t>
            </w:r>
          </w:p>
        </w:tc>
        <w:tc>
          <w:tcPr>
            <w:vAlign w:val="center"/>
          </w:tcPr>
          <w:p>
            <w:pPr>
              <w:jc w:val="center"/>
            </w:pPr>
            <w:r>
              <w:rPr>
                <w:color w:val="000000"/>
                <w:sz w:val="24"/>
              </w:rPr>
              <w:t>信泽01A2</w:t>
            </w:r>
          </w:p>
        </w:tc>
        <w:tc>
          <w:tcPr>
            <w:vAlign w:val="center"/>
          </w:tcPr>
          <w:p>
            <w:pPr>
              <w:jc w:val="right"/>
            </w:pPr>
            <w:r>
              <w:rPr>
                <w:color w:val="000000"/>
                <w:sz w:val="24"/>
              </w:rPr>
              <w:t>1,000,000</w:t>
            </w:r>
          </w:p>
        </w:tc>
        <w:tc>
          <w:tcPr>
            <w:vAlign w:val="center"/>
          </w:tcPr>
          <w:p>
            <w:pPr>
              <w:jc w:val="right"/>
            </w:pPr>
            <w:r>
              <w:rPr>
                <w:color w:val="000000"/>
                <w:sz w:val="24"/>
              </w:rPr>
              <w:t>100,000,000.00</w:t>
            </w:r>
          </w:p>
        </w:tc>
        <w:tc>
          <w:tcPr>
            <w:vAlign w:val="center"/>
          </w:tcPr>
          <w:p>
            <w:pPr>
              <w:jc w:val="right"/>
            </w:pPr>
            <w:r>
              <w:rPr>
                <w:color w:val="000000"/>
                <w:sz w:val="24"/>
              </w:rPr>
              <w:t>0.49</w:t>
            </w:r>
          </w:p>
        </w:tc>
      </w:tr>
      <w:tr>
        <w:tc>
          <w:tcPr>
            <w:vAlign w:val="center"/>
          </w:tcPr>
          <w:p>
            <w:pPr>
              <w:jc w:val="center"/>
            </w:pPr>
            <w:r>
              <w:rPr>
                <w:color w:val="000000"/>
                <w:sz w:val="24"/>
              </w:rPr>
              <w:t>2</w:t>
            </w:r>
          </w:p>
        </w:tc>
        <w:tc>
          <w:tcPr>
            <w:vAlign w:val="center"/>
          </w:tcPr>
          <w:p>
            <w:pPr>
              <w:jc w:val="center"/>
            </w:pPr>
            <w:r>
              <w:rPr>
                <w:color w:val="000000"/>
                <w:sz w:val="24"/>
              </w:rPr>
              <w:t>156289</w:t>
            </w:r>
          </w:p>
        </w:tc>
        <w:tc>
          <w:tcPr>
            <w:vAlign w:val="center"/>
          </w:tcPr>
          <w:p>
            <w:pPr>
              <w:jc w:val="center"/>
            </w:pPr>
            <w:r>
              <w:rPr>
                <w:color w:val="000000"/>
                <w:sz w:val="24"/>
              </w:rPr>
              <w:t>宁远07A2</w:t>
            </w:r>
          </w:p>
        </w:tc>
        <w:tc>
          <w:tcPr>
            <w:vAlign w:val="center"/>
          </w:tcPr>
          <w:p>
            <w:pPr>
              <w:jc w:val="right"/>
            </w:pPr>
            <w:r>
              <w:rPr>
                <w:color w:val="000000"/>
                <w:sz w:val="24"/>
              </w:rPr>
              <w:t>500,000</w:t>
            </w:r>
          </w:p>
        </w:tc>
        <w:tc>
          <w:tcPr>
            <w:vAlign w:val="center"/>
          </w:tcPr>
          <w:p>
            <w:pPr>
              <w:jc w:val="right"/>
            </w:pPr>
            <w:r>
              <w:rPr>
                <w:color w:val="000000"/>
                <w:sz w:val="24"/>
              </w:rPr>
              <w:t>50,000,000.00</w:t>
            </w:r>
          </w:p>
        </w:tc>
        <w:tc>
          <w:tcPr>
            <w:vAlign w:val="center"/>
          </w:tcPr>
          <w:p>
            <w:pPr>
              <w:jc w:val="right"/>
            </w:pPr>
            <w:r>
              <w:rPr>
                <w:color w:val="000000"/>
                <w:sz w:val="24"/>
              </w:rPr>
              <w:t>0.25</w:t>
            </w:r>
          </w:p>
        </w:tc>
      </w:tr>
      <w:tr>
        <w:tc>
          <w:tcPr>
            <w:vAlign w:val="center"/>
          </w:tcPr>
          <w:p>
            <w:pPr>
              <w:jc w:val="center"/>
            </w:pPr>
            <w:r>
              <w:rPr>
                <w:color w:val="000000"/>
                <w:sz w:val="24"/>
              </w:rPr>
              <w:t>3</w:t>
            </w:r>
          </w:p>
        </w:tc>
        <w:tc>
          <w:tcPr>
            <w:vAlign w:val="center"/>
          </w:tcPr>
          <w:p>
            <w:pPr>
              <w:jc w:val="center"/>
            </w:pPr>
            <w:r>
              <w:rPr>
                <w:color w:val="000000"/>
                <w:sz w:val="24"/>
              </w:rPr>
              <w:t>149295</w:t>
            </w:r>
          </w:p>
        </w:tc>
        <w:tc>
          <w:tcPr>
            <w:vAlign w:val="center"/>
          </w:tcPr>
          <w:p>
            <w:pPr>
              <w:jc w:val="center"/>
            </w:pPr>
            <w:r>
              <w:rPr>
                <w:color w:val="000000"/>
                <w:sz w:val="24"/>
              </w:rPr>
              <w:t>宁远02A2</w:t>
            </w:r>
          </w:p>
        </w:tc>
        <w:tc>
          <w:tcPr>
            <w:vAlign w:val="center"/>
          </w:tcPr>
          <w:p>
            <w:pPr>
              <w:jc w:val="right"/>
            </w:pPr>
            <w:r>
              <w:rPr>
                <w:color w:val="000000"/>
                <w:sz w:val="24"/>
              </w:rPr>
              <w:t>1,000,000</w:t>
            </w:r>
          </w:p>
        </w:tc>
        <w:tc>
          <w:tcPr>
            <w:vAlign w:val="center"/>
          </w:tcPr>
          <w:p>
            <w:pPr>
              <w:jc w:val="right"/>
            </w:pPr>
            <w:r>
              <w:rPr>
                <w:color w:val="000000"/>
                <w:sz w:val="24"/>
              </w:rPr>
              <w:t>37,680,000.00</w:t>
            </w:r>
          </w:p>
        </w:tc>
        <w:tc>
          <w:tcPr>
            <w:vAlign w:val="center"/>
          </w:tcPr>
          <w:p>
            <w:pPr>
              <w:jc w:val="right"/>
            </w:pPr>
            <w:r>
              <w:rPr>
                <w:color w:val="000000"/>
                <w:sz w:val="24"/>
              </w:rPr>
              <w:t>0.19</w:t>
            </w:r>
          </w:p>
        </w:tc>
      </w:tr>
    </w:tbl>
    <w:p w:rsidP="00281564" w:rsidR="00D40363" w:rsidRDefault="00D40363"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P="00281564" w:rsidR="009D74FC" w:rsidRDefault="002304D5" w:rsidRPr="000E4C40">
      <w:pPr>
        <w:spacing w:before="29" w:line="288" w:lineRule="auto"/>
        <w:rPr>
          <w:sz w:val="24"/>
        </w:rPr>
      </w:pPr>
      <w:r>
        <w:rPr>
          <w:sz w:val="24"/>
        </w:rPr>
        <w:t>5.9</w:t>
      </w:r>
      <w:r w:rsidR="00902E3F" w:rsidRPr="000E4C40">
        <w:rPr>
          <w:sz w:val="24"/>
        </w:rPr>
        <w:t>.1</w:t>
      </w:r>
      <w:r w:rsidR="009D74FC" w:rsidRPr="000E4C40">
        <w:rPr>
          <w:rFonts w:hAnsi="宋体"/>
          <w:sz w:val="24"/>
        </w:rPr>
        <w:t>基金计价方法说明</w:t>
      </w:r>
    </w:p>
    <w:p w:rsidP="00930856" w:rsidR="00D40363" w:rsidRDefault="00D40363" w:rsidRPr="000E4C40">
      <w:pPr>
        <w:spacing w:before="29" w:line="288" w:lineRule="auto"/>
        <w:rPr>
          <w:color w:val="000000"/>
          <w:sz w:val="24"/>
        </w:rPr>
      </w:pPr>
      <w:r w:rsidRPr="000E4C40">
        <w:rPr>
          <w:color w:val="000000"/>
          <w:sz w:val="24"/>
        </w:rPr>
        <w:lastRenderedPageBreak/>
        <w:t/>
      </w:r>
      <w:proofErr w:type="spellStart"/>
      <w:r w:rsidRPr="000E4C40">
        <w:rPr>
          <w:color w:val="000000"/>
          <w:sz w:val="24"/>
        </w:rPr>
        <w:t/>
      </w:r>
      <w:proofErr w:type="spellEnd"/>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P="00281564" w:rsidR="00EB25E4" w:rsidRDefault="002304D5">
      <w:pPr>
        <w:adjustRightInd w:val="0"/>
        <w:spacing w:before="29" w:line="288" w:lineRule="auto"/>
        <w:ind w:left="17"/>
        <w:rPr>
          <w:color w:val="000000"/>
          <w:sz w:val="24"/>
        </w:rPr>
      </w:pPr>
      <w:r>
        <w:rPr>
          <w:bCs/>
          <w:sz w:val="24"/>
        </w:rPr>
        <w:t>5.9</w:t>
      </w:r>
      <w:r w:rsidR="00EB25E4" w:rsidRPr="000E4C40">
        <w:rPr>
          <w:bCs/>
          <w:sz w:val="24"/>
        </w:rPr>
        <w:t>.</w:t>
      </w:r>
      <w:r>
        <w:rPr>
          <w:bCs/>
          <w:sz w:val="24"/>
        </w:rPr>
        <w:t>2</w:t>
      </w:r>
      <w:r w:rsidR="00EB25E4" w:rsidRPr="000E4C40">
        <w:rPr>
          <w:color w:val="000000"/>
          <w:sz w:val="24"/>
        </w:rPr>
        <w:t>报告期内本基金投资的前十名证券的发行主体未被监管部门立案调查，在本报告编制日前一年内本基金投资的前十名证券的发行主体未受到公开谴责和处罚。</w:t>
      </w:r>
    </w:p>
    <w:p w:rsidP="00281564" w:rsidR="00623E3A" w:rsidRDefault="00623E3A" w:rsidRPr="000E4C40">
      <w:pPr>
        <w:adjustRightInd w:val="0"/>
        <w:spacing w:before="29" w:line="288" w:lineRule="auto"/>
        <w:ind w:left="17"/>
        <w:rPr>
          <w:color w:val="000000"/>
          <w:sz w:val="24"/>
        </w:rPr>
      </w:pPr>
    </w:p>
    <w:p w:rsidP="00281564" w:rsidR="009D74FC" w:rsidRDefault="002304D5" w:rsidRPr="000E4C40">
      <w:pPr>
        <w:spacing w:before="29" w:line="288" w:lineRule="auto"/>
        <w:rPr>
          <w:color w:val="000000"/>
          <w:kern w:val="0"/>
          <w:sz w:val="24"/>
        </w:rPr>
      </w:pPr>
      <w:r>
        <w:rPr>
          <w:color w:val="000000"/>
          <w:kern w:val="0"/>
          <w:sz w:val="24"/>
        </w:rPr>
        <w:t>5.9</w:t>
      </w:r>
      <w:r w:rsidR="009D74FC" w:rsidRPr="000E4C40">
        <w:rPr>
          <w:color w:val="000000"/>
          <w:kern w:val="0"/>
          <w:sz w:val="24"/>
        </w:rPr>
        <w:t>.</w:t>
      </w:r>
      <w:r>
        <w:rPr>
          <w:color w:val="000000"/>
          <w:kern w:val="0"/>
          <w:sz w:val="24"/>
        </w:rPr>
        <w:t>3</w:t>
      </w:r>
      <w:r w:rsidR="003B36B4" w:rsidRPr="000E4C40">
        <w:rPr>
          <w:rFonts w:hAnsi="宋体"/>
          <w:color w:val="000000"/>
          <w:kern w:val="0"/>
          <w:sz w:val="24"/>
        </w:rPr>
        <w:t>其他各项资产构成</w:t>
      </w:r>
    </w:p>
    <w:tbl>
      <w:tblPr>
        <w:tblStyle w:val="aa"/>
        <w:tblW w:type="dxa" w:w="8868"/>
        <w:jc w:val="center"/>
        <w:tblInd w:type="dxa" w:w="17"/>
        <w:tblLayout w:type="fixed"/>
        <w:tblLook w:val="04A0"/>
      </w:tblPr>
      <w:tblGrid>
        <w:gridCol w:w="907"/>
        <w:gridCol w:w="3375"/>
        <w:gridCol w:w="4586"/>
      </w:tblGrid>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type="dxa" w:w="3535"/>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type="dxa" w:w="4808"/>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r w:rsidR="005B0F46" w:rsidRPr="000E4C40">
              <w:rPr>
                <w:rFonts w:hAnsi="宋体"/>
                <w:color w:val="000000"/>
                <w:kern w:val="0"/>
                <w:sz w:val="24"/>
              </w:rPr>
              <w:t>（元）</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93,355,454.48</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4</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6</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7</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8</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93,355,454.48</w:t>
            </w:r>
          </w:p>
        </w:tc>
      </w:tr>
    </w:tbl>
    <w:p w:rsidP="00281564" w:rsidR="00D1705E" w:rsidRDefault="00D1705E" w:rsidRPr="000E4C40">
      <w:pPr>
        <w:autoSpaceDE w:val="0"/>
        <w:autoSpaceDN w:val="0"/>
        <w:adjustRightInd w:val="0"/>
        <w:spacing w:before="29" w:line="288" w:lineRule="auto"/>
        <w:jc w:val="left"/>
        <w:rPr>
          <w:color w:val="000000"/>
          <w:sz w:val="24"/>
        </w:rPr>
      </w:pPr>
    </w:p>
    <w:p w:rsidP="00281564" w:rsidR="00452D31" w:rsidRDefault="00DA5831" w:rsidRPr="000E4C40">
      <w:pPr>
        <w:spacing w:before="29" w:line="288" w:lineRule="auto"/>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r w:rsidR="002304D5">
        <w:rPr>
          <w:color w:val="000000"/>
          <w:kern w:val="0"/>
          <w:sz w:val="24"/>
        </w:rPr>
        <w:t>5.9.4</w:t>
      </w:r>
      <w:r w:rsidR="00DE7C60" w:rsidRPr="000E4C40">
        <w:rPr>
          <w:rFonts w:hAnsi="宋体"/>
          <w:color w:val="000000"/>
          <w:kern w:val="0"/>
          <w:sz w:val="24"/>
        </w:rPr>
        <w:t>投资组合报告附注的其他文字描述部分</w:t>
      </w:r>
    </w:p>
    <w:p w:rsidP="00930856" w:rsidR="00452D31" w:rsidRDefault="00452D31" w:rsidRPr="000E4C40">
      <w:pPr>
        <w:spacing w:before="29" w:line="288" w:lineRule="auto"/>
        <w:rPr>
          <w:color w:val="000000"/>
          <w:sz w:val="24"/>
        </w:rPr>
      </w:pPr>
      <w:r w:rsidRPr="000E4C40">
        <w:rPr>
          <w:color w:val="000000"/>
          <w:sz w:val="24"/>
        </w:rPr>
        <w:t/>
      </w:r>
      <w:proofErr w:type="spellStart"/>
      <w:r w:rsidR="000C469F" w:rsidRPr="000E4C40">
        <w:rPr>
          <w:color w:val="000000"/>
          <w:sz w:val="24"/>
        </w:rPr>
        <w:t/>
      </w:r>
      <w:proofErr w:type="spellEnd"/>
      <w:r w:rsidRPr="000E4C40">
        <w:rPr>
          <w:color w:val="000000"/>
          <w:sz w:val="24"/>
        </w:rPr>
        <w:t>由于四舍五入的原因，分项之和与合计项之间可能存在尾差。</w:t>
      </w:r>
    </w:p>
    <w:p w:rsidP="00281564" w:rsidR="00504B75" w:rsidRDefault="00504B75" w:rsidRPr="000E4C40">
      <w:pPr>
        <w:spacing w:before="29" w:line="288" w:lineRule="auto"/>
        <w:rPr>
          <w:color w:val="000000"/>
          <w:sz w:val="24"/>
        </w:rPr>
      </w:pPr>
    </w:p>
    <w:p w:rsidP="00841EB4" w:rsidR="00902E3F" w:rsidRDefault="00902E3F" w:rsidRPr="000E4C40">
      <w:pPr>
        <w:pStyle w:val="1"/>
        <w:spacing w:afterLines="100" w:beforeLines="100"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3668"/>
        <w:gridCol w:w="2600"/>
        <w:gridCol w:w="2600"/>
      </w:tblGrid>
      <w:tr w:rsidR="006F1C55" w:rsidRPr="000E4C40" w:rsidTr="009D1870">
        <w:trPr>
          <w:jc w:val="center"/>
        </w:trPr>
        <w:tc>
          <w:tcPr>
            <w:tcW w:type="dxa" w:w="4134"/>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
            </w:r>
            <w:proofErr w:type="spellStart"/>
            <w:r w:rsidRPr="000E4C40">
              <w:rPr>
                <w:color w:val="000000"/>
                <w:kern w:val="0"/>
                <w:sz w:val="24"/>
              </w:rPr>
              <w:t/>
            </w:r>
            <w:r w:rsidRPr="000E4C40">
              <w:rPr>
                <w:sz w:val="24"/>
              </w:rPr>
              <w:t/>
            </w:r>
            <w:r w:rsidR="00327FB0" w:rsidRPr="000E4C40">
              <w:rPr>
                <w:sz w:val="24"/>
              </w:rPr>
              <w:t/>
            </w:r>
            <w:r w:rsidRPr="000E4C40">
              <w:rPr>
                <w:sz w:val="24"/>
              </w:rPr>
              <w:t/>
            </w:r>
            <w:proofErr w:type="spellEnd"/>
            <w:r w:rsidRPr="000E4C40">
              <w:rPr>
                <w:sz w:val="24"/>
              </w:rPr>
              <w:t>交银理财21天债券A</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
            </w:r>
            <w:r w:rsidRPr="000E4C40">
              <w:rPr>
                <w:sz w:val="24"/>
              </w:rPr>
              <w:t/>
            </w:r>
            <w:r w:rsidR="00327FB0" w:rsidRPr="000E4C40">
              <w:rPr>
                <w:sz w:val="24"/>
              </w:rPr>
              <w:t/>
            </w:r>
            <w:r w:rsidR="000F78F3">
              <w:rPr>
                <w:sz w:val="24"/>
              </w:rPr>
              <w:t/>
            </w:r>
            <w:r w:rsidR="000F78F3">
              <w:rPr>
                <w:rFonts w:hint="eastAsia"/>
                <w:sz w:val="24"/>
              </w:rPr>
              <w:t/>
            </w:r>
            <w:r w:rsidRPr="000E4C40">
              <w:rPr>
                <w:sz w:val="24"/>
              </w:rPr>
              <w:t>交银理财21天债券B</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报告期期初基金份额总额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13,326,104.44</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22,881,515,242.07</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r w:rsidRPr="000E4C40">
              <w:rPr>
                <w:color w:val="000000"/>
                <w:kern w:val="0"/>
                <w:sz w:val="24"/>
              </w:rPr>
              <w:lastRenderedPageBreak/>
              <w:t/>
            </w:r>
            <w:r w:rsidR="00327FB0" w:rsidRPr="000E4C40">
              <w:rPr>
                <w:color w:val="000000"/>
                <w:kern w:val="0"/>
                <w:sz w:val="24"/>
              </w:rPr>
              <w:t/>
            </w:r>
            <w:r w:rsidRPr="000E4C40">
              <w:rPr>
                <w:color w:val="000000"/>
                <w:kern w:val="0"/>
                <w:sz w:val="24"/>
              </w:rPr>
              <w:t/>
            </w:r>
            <w:proofErr w:type="spellEnd"/>
            <w:r w:rsidRPr="000E4C40">
              <w:rPr>
                <w:color w:val="000000"/>
                <w:kern w:val="0"/>
                <w:sz w:val="24"/>
              </w:rPr>
              <w:t>98,268.85</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lastRenderedPageBreak/>
              <w:t/>
            </w:r>
            <w:r w:rsidRPr="000E4C40">
              <w:rPr>
                <w:color w:val="000000"/>
                <w:kern w:val="0"/>
                <w:sz w:val="24"/>
              </w:rPr>
              <w:lastRenderedPageBreak/>
              <w:t/>
            </w:r>
            <w:r w:rsidR="00327FB0" w:rsidRPr="000E4C40">
              <w:rPr>
                <w:color w:val="000000"/>
                <w:kern w:val="0"/>
                <w:sz w:val="24"/>
              </w:rPr>
              <w:t/>
            </w:r>
            <w:r w:rsidR="000F78F3">
              <w:rPr>
                <w:rFonts w:hint="eastAsia"/>
                <w:color w:val="000000"/>
                <w:kern w:val="0"/>
                <w:sz w:val="24"/>
              </w:rPr>
              <w:t/>
            </w:r>
            <w:r w:rsidRPr="000E4C40">
              <w:rPr>
                <w:color w:val="000000"/>
                <w:kern w:val="0"/>
                <w:sz w:val="24"/>
              </w:rPr>
              <w:t>175,730,901.84</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r w:rsidR="00327FB0" w:rsidRPr="000E4C40">
              <w:rPr>
                <w:color w:val="000000"/>
                <w:kern w:val="0"/>
                <w:sz w:val="24"/>
              </w:rPr>
              <w:t/>
            </w:r>
            <w:r w:rsidRPr="000E4C40">
              <w:rPr>
                <w:color w:val="000000"/>
                <w:kern w:val="0"/>
                <w:sz w:val="24"/>
              </w:rPr>
              <w:t/>
            </w:r>
            <w:proofErr w:type="spellEnd"/>
            <w:r w:rsidRPr="000E4C40">
              <w:rPr>
                <w:color w:val="000000"/>
                <w:kern w:val="0"/>
                <w:sz w:val="24"/>
              </w:rPr>
              <w:t>2,043,126.29</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2,813,163,129.16</w:t>
            </w:r>
          </w:p>
        </w:tc>
      </w:tr>
      <w:tr w:rsidR="000417E0" w:rsidRPr="000E4C40" w:rsidTr="009D1870">
        <w:trPr>
          <w:jc w:val="center"/>
        </w:trPr>
        <w:tc>
          <w:tcPr>
            <w:tcW w:type="dxa" w:w="4134"/>
            <w:vAlign w:val="center"/>
          </w:tcPr>
          <w:p w:rsidP="00281564" w:rsidR="000417E0" w:rsidRDefault="0078687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r w:rsidR="003D1ECF" w:rsidRPr="000E4C40">
              <w:rPr>
                <w:color w:val="000000"/>
                <w:kern w:val="0"/>
                <w:sz w:val="24"/>
              </w:rPr>
              <w:t/>
            </w:r>
            <w:r w:rsidRPr="000E4C40">
              <w:rPr>
                <w:color w:val="000000"/>
                <w:kern w:val="0"/>
                <w:sz w:val="24"/>
              </w:rPr>
              <w:t/>
            </w:r>
            <w:proofErr w:type="spellEnd"/>
            <w:r w:rsidRPr="000E4C40">
              <w:rPr>
                <w:color w:val="000000"/>
                <w:kern w:val="0"/>
                <w:sz w:val="24"/>
              </w:rPr>
              <w:t>11,381,247.00</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20,244,083,014.75</w:t>
            </w:r>
          </w:p>
        </w:tc>
      </w:tr>
    </w:tbl>
    <w:p>
      <w:pPr>
        <w:autoSpaceDE w:val="0"/>
        <w:autoSpaceDN w:val="0"/>
        <w:adjustRightInd w:val="0"/>
        <w:spacing w:before="29" w:line="288" w:lineRule="auto"/>
        <w:jc w:val="left"/>
        <w:rPr>
          <w:color w:val="000000"/>
          <w:sz w:val="24"/>
        </w:rPr>
      </w:pPr>
      <w:r>
        <w:rPr>
          <w:color w:val="000000"/>
          <w:sz w:val="24"/>
        </w:rPr>
        <w:t xml:space="preserve">注：1、如果本报告期间发生转换入、份额类别调整、红利再投业务，则总申购份额中包含该业务； </w:t>
      </w:r>
    </w:p>
    <w:p w:rsidP="00281564" w:rsidR="00AA5B03" w:rsidRDefault="00BE5584"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r w:rsidR="00AA5B03" w:rsidRPr="000E4C40">
        <w:rPr>
          <w:color w:val="000000"/>
          <w:sz w:val="24"/>
        </w:rPr>
        <w:t/>
      </w:r>
      <w:proofErr w:type="spellStart"/>
      <w:r w:rsidR="00AA5B03" w:rsidRPr="000E4C40">
        <w:rPr>
          <w:color w:val="000000"/>
          <w:sz w:val="24"/>
        </w:rPr>
        <w:t/>
      </w:r>
      <w:proofErr w:type="spellEnd"/>
      <w:r w:rsidR="00AA5B03" w:rsidRPr="000E4C40">
        <w:rPr>
          <w:color w:val="000000"/>
          <w:sz w:val="24"/>
        </w:rPr>
        <w:t xml:space="preserve"> 2、如果本报告期间发生转换出、份额类别调整业务，则总赎回份额中包含该业务。</w:t>
      </w:r>
    </w:p>
    <w:p w:rsidP="00281564" w:rsidR="006E2890" w:rsidRDefault="006E2890" w:rsidRPr="000E4C40">
      <w:pPr>
        <w:autoSpaceDE w:val="0"/>
        <w:autoSpaceDN w:val="0"/>
        <w:adjustRightInd w:val="0"/>
        <w:spacing w:before="29" w:line="288" w:lineRule="auto"/>
        <w:jc w:val="left"/>
        <w:rPr>
          <w:color w:val="000000"/>
          <w:sz w:val="24"/>
        </w:rPr>
      </w:pPr>
    </w:p>
    <w:p w:rsidP="00841EB4" w:rsidR="000F2DA3" w:rsidRDefault="000F2DA3" w:rsidRPr="000E4C40">
      <w:pPr>
        <w:pStyle w:val="1"/>
        <w:spacing w:afterLines="100" w:beforeLines="100" w:line="288" w:lineRule="auto"/>
        <w:jc w:val="center"/>
        <w:rPr>
          <w:color w:val="000000"/>
          <w:kern w:val="0"/>
          <w:sz w:val="24"/>
          <w:szCs w:val="24"/>
        </w:rPr>
      </w:pPr>
      <w:r w:rsidRPr="000E4C40">
        <w:rPr>
          <w:color w:val="000000"/>
          <w:kern w:val="0"/>
          <w:sz w:val="24"/>
          <w:szCs w:val="24"/>
        </w:rPr>
        <w:t/>
      </w:r>
      <w:proofErr w:type="spellStart"/>
      <w:r w:rsidRPr="000E4C40">
        <w:rPr>
          <w:color w:val="000000"/>
          <w:kern w:val="0"/>
          <w:sz w:val="24"/>
          <w:szCs w:val="24"/>
        </w:rPr>
        <w:t/>
      </w:r>
      <w:proofErr w:type="spellEnd"/>
      <w:r w:rsidRPr="000E4C40">
        <w:rPr>
          <w:color w:val="000000"/>
          <w:kern w:val="0"/>
          <w:sz w:val="24"/>
          <w:szCs w:val="24"/>
        </w:rPr>
        <w:t xml:space="preserve">§7  </w:t>
      </w:r>
      <w:r w:rsidRPr="000E4C40">
        <w:rPr>
          <w:rFonts w:hAnsi="宋体"/>
          <w:color w:val="000000"/>
          <w:kern w:val="0"/>
          <w:sz w:val="24"/>
          <w:szCs w:val="24"/>
        </w:rPr>
        <w:t>基金管理人运用固有资金投资本基金交易明细</w:t>
      </w:r>
    </w:p>
    <w:p w:rsidP="00281564" w:rsidR="000F2DA3" w:rsidRDefault="000F2DA3"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proofErr w:type="spellStart"/>
      <w:r w:rsidRPr="000E4C40">
        <w:rPr>
          <w:color w:val="000000"/>
          <w:sz w:val="24"/>
        </w:rPr>
        <w:t/>
      </w:r>
      <w:proofErr w:type="spellEnd"/>
      <w:r w:rsidRPr="000E4C40">
        <w:rPr>
          <w:color w:val="000000"/>
          <w:sz w:val="24"/>
        </w:rPr>
        <w:t>本基金管理人本报告期内未进行本基金的申购、赎回、红利再投等；本基金管理人本报告期末持有本基金份额0.00份，占本基金期末总份额的0.00%。</w:t>
      </w:r>
    </w:p>
    <w:p w:rsidP="00281564" w:rsidR="0018245B" w:rsidRDefault="0018245B" w:rsidRPr="000E4C40">
      <w:pPr>
        <w:autoSpaceDE w:val="0"/>
        <w:autoSpaceDN w:val="0"/>
        <w:adjustRightInd w:val="0"/>
        <w:spacing w:before="29" w:line="288" w:lineRule="auto"/>
        <w:jc w:val="left"/>
        <w:rPr>
          <w:color w:val="000000"/>
          <w:sz w:val="24"/>
        </w:rPr>
      </w:pPr>
    </w:p>
    <w:p w:rsidP="00841EB4" w:rsidR="003D1E1A" w:rsidRDefault="003D1E1A">
      <w:pPr>
        <w:pStyle w:val="1"/>
        <w:spacing w:afterLines="100" w:beforeLines="100" w:line="360" w:lineRule="auto"/>
        <w:jc w:val="center"/>
        <w:rPr>
          <w:rFonts w:asciiTheme="minorEastAsia" w:cs="Arial" w:eastAsiaTheme="minorEastAsia" w:hAnsiTheme="minorEastAsia"/>
          <w:color w:themeColor="text1" w:val="000000"/>
          <w:kern w:val="0"/>
          <w:sz w:val="24"/>
          <w:szCs w:val="24"/>
        </w:rPr>
      </w:pPr>
      <w:r>
        <w:rPr>
          <w:rFonts w:asciiTheme="minorEastAsia" w:cs="Arial" w:eastAsiaTheme="minorEastAsia" w:hAnsiTheme="minorEastAsia" w:hint="eastAsia"/>
          <w:color w:themeColor="text1" w:val="000000"/>
          <w:kern w:val="0"/>
          <w:sz w:val="24"/>
          <w:szCs w:val="24"/>
        </w:rPr>
        <w:t/>
      </w:r>
      <w:proofErr w:type="spellStart"/>
      <w:r>
        <w:rPr>
          <w:rFonts w:asciiTheme="minorEastAsia" w:cs="Arial" w:eastAsiaTheme="minorEastAsia" w:hAnsiTheme="minorEastAsia" w:hint="eastAsia"/>
          <w:color w:themeColor="text1" w:val="000000"/>
          <w:kern w:val="0"/>
          <w:sz w:val="24"/>
          <w:szCs w:val="24"/>
        </w:rPr>
        <w:t/>
      </w:r>
      <w:proofErr w:type="spellEnd"/>
      <w:r>
        <w:rPr>
          <w:rFonts w:asciiTheme="minorEastAsia" w:cs="Arial" w:eastAsiaTheme="minorEastAsia" w:hAnsiTheme="minorEastAsia" w:hint="eastAsia"/>
          <w:color w:themeColor="text1" w:val="000000"/>
          <w:kern w:val="0"/>
          <w:sz w:val="24"/>
          <w:szCs w:val="24"/>
        </w:rPr>
        <w:t>§8  影响投资者决策的其他重要信息</w:t>
      </w:r>
    </w:p>
    <w:p w:rsidP="003D1E1A" w:rsidR="003D1E1A" w:rsidRDefault="003D1E1A">
      <w:pPr>
        <w:autoSpaceDE w:val="0"/>
        <w:autoSpaceDN w:val="0"/>
        <w:adjustRightInd w:val="0"/>
        <w:spacing w:line="360" w:lineRule="auto"/>
        <w:jc w:val="left"/>
        <w:rPr>
          <w:rFonts w:ascii="宋体" w:hAnsi="宋体"/>
          <w:b/>
          <w:bCs/>
          <w:color w:val="000000"/>
          <w:kern w:val="0"/>
          <w:sz w:val="24"/>
        </w:rPr>
      </w:pPr>
      <w:r>
        <w:rPr>
          <w:rFonts w:ascii="宋体" w:hAnsi="宋体" w:hint="eastAsia"/>
          <w:b/>
          <w:color w:val="000000"/>
          <w:kern w:val="0"/>
          <w:sz w:val="24"/>
        </w:rPr>
        <w:t/>
      </w:r>
      <w:proofErr w:type="spellStart"/>
      <w:r>
        <w:rPr>
          <w:rFonts w:ascii="宋体" w:hAnsi="宋体" w:hint="eastAsia"/>
          <w:b/>
          <w:color w:val="000000"/>
          <w:kern w:val="0"/>
          <w:sz w:val="24"/>
        </w:rPr>
        <w:t/>
      </w:r>
      <w:proofErr w:type="spellEnd"/>
      <w:r>
        <w:rPr>
          <w:rFonts w:ascii="宋体" w:hAnsi="宋体" w:hint="eastAsia"/>
          <w:b/>
          <w:color w:val="000000"/>
          <w:kern w:val="0"/>
          <w:sz w:val="24"/>
        </w:rPr>
        <w:t/>
      </w:r>
      <w:r>
        <w:rPr>
          <w:rFonts w:ascii="宋体" w:hAnsi="宋体" w:hint="eastAsia"/>
          <w:b/>
          <w:bCs/>
          <w:color w:val="000000"/>
          <w:kern w:val="0"/>
          <w:sz w:val="24"/>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992"/>
        <w:gridCol w:w="991"/>
        <w:gridCol w:w="1843"/>
        <w:gridCol w:w="851"/>
        <w:gridCol w:w="850"/>
        <w:gridCol w:w="1134"/>
        <w:gridCol w:w="1419"/>
        <w:gridCol w:w="1130"/>
      </w:tblGrid>
      <w:tr w:rsidR="003D1E1A" w:rsidTr="003D1E1A">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hint="eastAsia"/>
                <w:color w:val="000000"/>
                <w:kern w:val="0"/>
                <w:szCs w:val="21"/>
              </w:rPr>
              <w:lastRenderedPageBreak/>
              <w:t/>
            </w:r>
            <w:proofErr w:type="spellStart"/>
            <w:r>
              <w:rPr>
                <w:rFonts w:ascii="宋体" w:hAnsi="宋体" w:hint="eastAsia"/>
                <w:color w:val="000000"/>
                <w:kern w:val="0"/>
                <w:szCs w:val="21"/>
              </w:rPr>
              <w:t/>
            </w:r>
            <w:proofErr w:type="spellEnd"/>
            <w:r>
              <w:rPr>
                <w:rFonts w:ascii="宋体" w:hAnsi="宋体" w:hint="eastAsia"/>
                <w:color w:val="000000"/>
                <w:kern w:val="0"/>
                <w:szCs w:val="21"/>
              </w:rPr>
              <w:t/>
            </w:r>
            <w:proofErr w:type="spellStart"/>
            <w:r>
              <w:rPr>
                <w:rFonts w:ascii="宋体" w:hAnsi="宋体" w:hint="eastAsia"/>
                <w:color w:val="000000"/>
                <w:kern w:val="0"/>
                <w:szCs w:val="21"/>
              </w:rPr>
              <w:t/>
            </w:r>
            <w:proofErr w:type="spellEnd"/>
            <w:r>
              <w:rPr>
                <w:rFonts w:ascii="宋体" w:hAnsi="宋体" w:hint="eastAsia"/>
                <w:color w:val="000000"/>
                <w:kern w:val="0"/>
                <w:szCs w:val="21"/>
              </w:rPr>
              <w:t xml:space="preserve">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lastRenderedPageBreak/>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D1E1A" w:rsidTr="003D1E1A">
        <w:tc>
          <w:tcPr>
            <w:tcW w:type="dxa" w:w="993"/>
            <w:vMerge/>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w:t>
            </w:r>
            <w:r>
              <w:rPr>
                <w:rFonts w:ascii="宋体" w:hAnsi="宋体" w:hint="eastAsia"/>
                <w:color w:val="000000"/>
                <w:kern w:val="0"/>
                <w:szCs w:val="21"/>
              </w:rPr>
              <w:lastRenderedPageBreak/>
              <w:t>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lastRenderedPageBreak/>
              <w:t>期初份</w:t>
            </w:r>
            <w:r>
              <w:rPr>
                <w:rFonts w:ascii="宋体" w:hAnsi="宋体" w:hint="eastAsia"/>
                <w:color w:val="000000"/>
                <w:kern w:val="0"/>
                <w:szCs w:val="21"/>
              </w:rPr>
              <w:lastRenderedPageBreak/>
              <w:t>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lastRenderedPageBreak/>
              <w:t>申购份</w:t>
            </w:r>
            <w:r>
              <w:rPr>
                <w:rFonts w:ascii="宋体" w:hAnsi="宋体" w:hint="eastAsia"/>
                <w:color w:val="000000"/>
                <w:kern w:val="0"/>
                <w:szCs w:val="21"/>
              </w:rPr>
              <w:lastRenderedPageBreak/>
              <w:t>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lastRenderedPageBreak/>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2019/1/1-2019/3/31</w:t>
            </w:r>
          </w:p>
        </w:tc>
        <w:tc>
          <w:tcPr>
            <w:vAlign w:val="center"/>
          </w:tcPr>
          <w:p>
            <w:pPr>
              <w:jc w:val="center"/>
            </w:pPr>
            <w:r>
              <w:rPr>
                <w:rFonts w:ascii="宋体" w:hAnsi="宋体" w:hint="eastAsia"/>
                <w:color w:val="000000"/>
                <w:kern w:val="0"/>
                <w:szCs w:val="21"/>
              </w:rPr>
              <w:t>6,400,184,453.15</w:t>
            </w:r>
          </w:p>
        </w:tc>
        <w:tc>
          <w:tcPr>
            <w:vAlign w:val="center"/>
          </w:tcPr>
          <w:p>
            <w:pPr>
              <w:jc w:val="center"/>
            </w:pPr>
            <w:r>
              <w:rPr>
                <w:rFonts w:ascii="宋体" w:hAnsi="宋体" w:hint="eastAsia"/>
                <w:color w:val="000000"/>
                <w:kern w:val="0"/>
                <w:szCs w:val="21"/>
              </w:rPr>
              <w:t>53,181,740.32</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6,453,366,193.47</w:t>
            </w:r>
          </w:p>
        </w:tc>
        <w:tc>
          <w:tcPr>
            <w:vAlign w:val="center"/>
          </w:tcPr>
          <w:p>
            <w:pPr>
              <w:jc w:val="center"/>
            </w:pPr>
            <w:r>
              <w:rPr>
                <w:rFonts w:ascii="宋体" w:hAnsi="宋体" w:hint="eastAsia"/>
                <w:color w:val="000000"/>
                <w:kern w:val="0"/>
                <w:szCs w:val="21"/>
              </w:rPr>
              <w:t>31.86%</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9210"/>
      </w:tblGrid>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roofErr w:type="spellStart"/>
            <w:r>
              <w:rPr>
                <w:rFonts w:ascii="宋体" w:hAnsi="宋体" w:hint="eastAsia"/>
                <w:kern w:val="0"/>
                <w:szCs w:val="21"/>
              </w:rPr>
              <w:t/>
            </w:r>
            <w:proofErr w:type="spellEnd"/>
            <w:r>
              <w:rPr>
                <w:rFonts w:ascii="宋体" w:hAnsi="宋体" w:hint="eastAsia"/>
                <w:kern w:val="0"/>
                <w:szCs w:val="21"/>
              </w:rPr>
              <w:t/>
            </w:r>
          </w:p>
        </w:tc>
      </w:tr>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841EB4" w:rsidR="00C03EF8" w:rsidRDefault="009D74FC" w:rsidRPr="009268A2">
      <w:pPr>
        <w:pStyle w:val="1"/>
        <w:spacing w:afterLines="100" w:beforeLines="100"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
      </w:r>
      <w:r w:rsidR="00F1658B" w:rsidRPr="000E4C40">
        <w:rPr>
          <w:color w:val="000000"/>
          <w:kern w:val="0"/>
          <w:sz w:val="24"/>
          <w:szCs w:val="24"/>
        </w:rPr>
        <w:t/>
      </w:r>
      <w:r w:rsidR="00AF3D19" w:rsidRPr="000E4C40">
        <w:rPr>
          <w:color w:val="000000"/>
          <w:kern w:val="0"/>
          <w:sz w:val="24"/>
          <w:szCs w:val="24"/>
        </w:rPr>
        <w:t/>
      </w:r>
      <w:r w:rsidR="00DA5831" w:rsidRPr="000E4C40">
        <w:rPr>
          <w:color w:val="000000"/>
          <w:kern w:val="0"/>
          <w:sz w:val="24"/>
          <w:szCs w:val="24"/>
        </w:rPr>
        <w:t>9</w:t>
      </w:r>
      <w:r w:rsidRPr="000E4C40">
        <w:rPr>
          <w:rFonts w:hAnsi="宋体"/>
          <w:color w:val="000000"/>
          <w:kern w:val="0"/>
          <w:sz w:val="24"/>
          <w:szCs w:val="24"/>
        </w:rPr>
        <w:t>备查文件目录</w:t>
      </w: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pPr>
        <w:spacing w:before="29" w:line="288" w:lineRule="auto"/>
        <w:ind w:firstLine="480" w:firstLineChars="200"/>
        <w:rPr>
          <w:color w:val="000000"/>
          <w:sz w:val="24"/>
        </w:rPr>
      </w:pPr>
      <w:r>
        <w:rPr>
          <w:color w:val="000000"/>
          <w:sz w:val="24"/>
        </w:rPr>
        <w:t xml:space="preserve">1、中国证监会批准交银施罗德理财21天债券型证券投资基金募集的文件； </w:t>
      </w:r>
    </w:p>
    <w:p>
      <w:pPr>
        <w:spacing w:before="29" w:line="288" w:lineRule="auto"/>
        <w:ind w:firstLine="480" w:firstLineChars="200"/>
        <w:rPr>
          <w:color w:val="000000"/>
          <w:sz w:val="24"/>
        </w:rPr>
      </w:pPr>
      <w:r>
        <w:rPr>
          <w:color w:val="000000"/>
          <w:sz w:val="24"/>
        </w:rPr>
        <w:t xml:space="preserve">2、《交银施罗德理财21天债券型证券投资基金基金合同》； </w:t>
      </w:r>
    </w:p>
    <w:p>
      <w:pPr>
        <w:spacing w:before="29" w:line="288" w:lineRule="auto"/>
        <w:ind w:firstLine="480" w:firstLineChars="200"/>
        <w:rPr>
          <w:color w:val="000000"/>
          <w:sz w:val="24"/>
        </w:rPr>
      </w:pPr>
      <w:r>
        <w:rPr>
          <w:color w:val="000000"/>
          <w:sz w:val="24"/>
        </w:rPr>
        <w:t xml:space="preserve">3、《交银施罗德理财21天债券型证券投资基金招募说明书》； </w:t>
      </w:r>
    </w:p>
    <w:p>
      <w:pPr>
        <w:spacing w:before="29" w:line="288" w:lineRule="auto"/>
        <w:ind w:firstLine="480" w:firstLineChars="200"/>
        <w:rPr>
          <w:color w:val="000000"/>
          <w:sz w:val="24"/>
        </w:rPr>
      </w:pPr>
      <w:r>
        <w:rPr>
          <w:color w:val="000000"/>
          <w:sz w:val="24"/>
        </w:rPr>
        <w:t xml:space="preserve">4、《交银施罗德理财21天债券型证券投资基金托管协议》； </w:t>
      </w:r>
    </w:p>
    <w:p>
      <w:pPr>
        <w:spacing w:before="29" w:line="288" w:lineRule="auto"/>
        <w:ind w:firstLine="480" w:firstLineChars="200"/>
        <w:rPr>
          <w:color w:val="000000"/>
          <w:sz w:val="24"/>
        </w:rPr>
      </w:pPr>
      <w:r>
        <w:rPr>
          <w:color w:val="000000"/>
          <w:sz w:val="24"/>
        </w:rPr>
        <w:t xml:space="preserve">5、关于募集交银施罗德理财21天债券型证券投资基金之法律意见书； </w:t>
      </w:r>
    </w:p>
    <w:p>
      <w:pPr>
        <w:spacing w:before="29" w:line="288" w:lineRule="auto"/>
        <w:ind w:firstLine="480" w:firstLineChars="200"/>
        <w:rPr>
          <w:color w:val="000000"/>
          <w:sz w:val="24"/>
        </w:rPr>
      </w:pPr>
      <w:r>
        <w:rPr>
          <w:color w:val="000000"/>
          <w:sz w:val="24"/>
        </w:rPr>
        <w:t xml:space="preserve">6、基金管理人业务资格批件、营业执照； </w:t>
      </w:r>
    </w:p>
    <w:p>
      <w:pPr>
        <w:spacing w:before="29" w:line="288" w:lineRule="auto"/>
        <w:ind w:firstLine="480" w:firstLineChars="200"/>
        <w:rPr>
          <w:color w:val="000000"/>
          <w:sz w:val="24"/>
        </w:rPr>
      </w:pPr>
      <w:r>
        <w:rPr>
          <w:color w:val="000000"/>
          <w:sz w:val="24"/>
        </w:rPr>
        <w:t xml:space="preserve">7、基金托管人业务资格批件、营业执照； </w:t>
      </w:r>
    </w:p>
    <w:p w:rsidP="00281564" w:rsidR="00AB373C" w:rsidRDefault="00AB373C"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8、报告期内交银施罗德理财21天债券型证券投资基金在指定报刊上各项公告的原稿。</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P="00281564" w:rsidR="00AB373C" w:rsidRDefault="00AB373C"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备查文件存放于基金管理人的办公场所。</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281564" w:rsidR="009D74FC" w:rsidRDefault="00AB373C"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投资者对本报告书如有疑问，可咨询本基金管理人交银施罗德基金管理有限公司。本公司客户服务中心电话：400-700-5000（免长途话费），021-61055000，电子邮件：services@jysld.com。</w:t>
      </w:r>
    </w:p>
    <w:p w:rsidP="00281564" w:rsidR="003B6DC6" w:rsidRDefault="003B6DC6" w:rsidRPr="000E4C40">
      <w:pPr>
        <w:spacing w:before="29" w:line="288" w:lineRule="auto"/>
        <w:ind w:right="480"/>
        <w:rPr>
          <w:b/>
          <w:bCs/>
          <w:sz w:val="24"/>
        </w:rPr>
      </w:pPr>
    </w:p>
    <w:sectPr w:rsidR="003B6DC6" w:rsidRPr="000E4C40" w:rsidSect="00075BBB">
      <w:pgSz w:h="15840" w:w="11926"/>
      <w:pgMar w:bottom="852" w:footer="992" w:gutter="0" w:header="851" w:left="1420" w:right="1420" w:top="1420"/>
      <w:cols w:space="720"/>
      <w:noEndnote/>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5FF" w:rsidRDefault="006245FF">
      <w:r>
        <w:separator/>
      </w:r>
    </w:p>
  </w:endnote>
  <w:endnote w:type="continuationSeparator" w:id="0">
    <w:p w:rsidR="006245FF" w:rsidRDefault="006245F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841EB4" w:rsidRDefault="00841EB4">
    <w:pPr>
      <w:pStyle w:val="a5"/>
    </w:pP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1D0DB0" w:rsidR="00D1705E" w:rsidRDefault="00D1705E" w:rsidRPr="001D0DB0">
    <w:pPr>
      <w:pStyle w:val="a5"/>
      <w:jc w:val="center"/>
    </w:pPr>
    <w:r>
      <w:rPr>
        <w:rFonts w:hint="eastAsia"/>
        <w:kern w:val="0"/>
        <w:szCs w:val="21"/>
      </w:rPr>
      <w:t>第</w:t>
    </w:r>
    <w:r w:rsidR="00457CD3">
      <w:rPr>
        <w:kern w:val="0"/>
        <w:szCs w:val="21"/>
      </w:rPr>
      <w:fldChar w:fldCharType="begin"/>
    </w:r>
    <w:r>
      <w:rPr>
        <w:kern w:val="0"/>
        <w:szCs w:val="21"/>
      </w:rPr>
      <w:instrText xml:space="preserve"> PAGE </w:instrText>
    </w:r>
    <w:r w:rsidR="00457CD3">
      <w:rPr>
        <w:kern w:val="0"/>
        <w:szCs w:val="21"/>
      </w:rPr>
      <w:fldChar w:fldCharType="separate"/>
    </w:r>
    <w:r w:rsidR="00841EB4">
      <w:rPr>
        <w:noProof/>
        <w:kern w:val="0"/>
        <w:szCs w:val="21"/>
      </w:rPr>
      <w:t>2</w:t>
    </w:r>
    <w:r w:rsidR="00457CD3">
      <w:rPr>
        <w:kern w:val="0"/>
        <w:szCs w:val="21"/>
      </w:rPr>
      <w:fldChar w:fldCharType="end"/>
    </w:r>
    <w:r>
      <w:rPr>
        <w:rFonts w:hint="eastAsia"/>
        <w:kern w:val="0"/>
        <w:szCs w:val="21"/>
      </w:rPr>
      <w:t>页共</w:t>
    </w:r>
    <w:r w:rsidR="00457CD3">
      <w:rPr>
        <w:rFonts w:hint="eastAsia"/>
        <w:kern w:val="0"/>
        <w:szCs w:val="21"/>
      </w:rPr>
      <w:fldChar w:fldCharType="begin"/>
    </w:r>
    <w:r>
      <w:rPr>
        <w:kern w:val="0"/>
        <w:szCs w:val="21"/>
      </w:rPr>
      <w:instrText xml:space="preserve"> NUMPAGES </w:instrText>
    </w:r>
    <w:r w:rsidR="00457CD3">
      <w:rPr>
        <w:rFonts w:hint="eastAsia"/>
        <w:kern w:val="0"/>
        <w:szCs w:val="21"/>
      </w:rPr>
      <w:fldChar w:fldCharType="separate"/>
    </w:r>
    <w:r w:rsidR="00841EB4">
      <w:rPr>
        <w:noProof/>
        <w:kern w:val="0"/>
        <w:szCs w:val="21"/>
      </w:rPr>
      <w:t>23</w:t>
    </w:r>
    <w:r w:rsidR="00457CD3">
      <w:rPr>
        <w:rFonts w:hint="eastAsia"/>
        <w:kern w:val="0"/>
        <w:szCs w:val="21"/>
      </w:rPr>
      <w:fldChar w:fldCharType="end"/>
    </w:r>
    <w:r>
      <w:rPr>
        <w:rFonts w:hint="eastAsia"/>
        <w:kern w:val="0"/>
        <w:szCs w:val="21"/>
      </w:rPr>
      <w:t>页</w:t>
    </w:r>
  </w:p>
</w:ftr>
</file>

<file path=word/footer3.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841EB4" w:rsidRDefault="00841EB4">
    <w:pPr>
      <w:pStyle w:val="a5"/>
    </w:pPr>
  </w:p>
</w:ftr>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1" w:type="separator">
    <w:p w:rsidR="006245FF" w:rsidRDefault="006245FF">
      <w:r>
        <w:separator/>
      </w:r>
    </w:p>
  </w:footnote>
  <w:footnote w:id="0" w:type="continuationSeparator">
    <w:p w:rsidR="006245FF" w:rsidRDefault="006245FF">
      <w:r>
        <w:continuationSeparator/>
      </w:r>
    </w:p>
  </w:footnote>
</w:footnotes>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841EB4" w:rsidRDefault="00841EB4">
    <w:pPr>
      <w:pStyle w:val="a4"/>
    </w:pP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8379E2" w:rsidR="00D1705E" w:rsidRDefault="00841EB4" w:rsidRPr="00841EB4">
    <w:pPr>
      <w:pStyle w:val="a4"/>
      <w:pBdr>
        <w:bottom w:color="auto" w:space="0" w:sz="6" w:val="single"/>
      </w:pBdr>
      <w:jc w:val="right"/>
      <w:rPr>
        <w:sz w:val="24"/>
        <w:szCs w:val="24"/>
      </w:rPr>
    </w:pPr>
    <w:r w:rsidRPr="003E676C">
      <w:rPr>
        <w:sz w:val="24"/>
        <w:szCs w:val="24"/>
      </w:rPr>
      <w:t/>
    </w:r>
    <w:proofErr w:type="spellStart"/>
    <w:r w:rsidRPr="003E676C">
      <w:rPr>
        <w:sz w:val="24"/>
        <w:szCs w:val="24"/>
      </w:rPr>
      <w:t/>
    </w:r>
    <w:proofErr w:type="spellEnd"/>
    <w:r w:rsidRPr="003E676C">
      <w:rPr>
        <w:sz w:val="24"/>
        <w:szCs w:val="24"/>
      </w:rPr>
      <w:t>交银施罗德理财21天债券型证券投资基金</w:t>
    </w:r>
    <w:proofErr w:type="spellStart"/>
    <w:r w:rsidRPr="003E676C">
      <w:rPr>
        <w:sz w:val="24"/>
        <w:szCs w:val="24"/>
      </w:rPr>
      <w:t/>
    </w:r>
    <w:proofErr w:type="spellEnd"/>
    <w:r w:rsidRPr="003E676C">
      <w:rPr>
        <w:sz w:val="24"/>
        <w:szCs w:val="24"/>
      </w:rPr>
      <w:t>2019年第1季度报告</w:t>
    </w:r>
  </w:p>
</w:hdr>
</file>

<file path=word/header3.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841EB4" w:rsidRDefault="00841EB4">
    <w:pPr>
      <w:pStyle w:val="a4"/>
    </w:pPr>
  </w:p>
</w:hdr>
</file>

<file path=word/numbering.xml><?xml version="1.0" encoding="utf-8"?>
<w:number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abstractNum w:abstractNumId="0">
    <w:nsid w:val="1E125ACF"/>
    <w:multiLevelType w:val="hybridMultilevel"/>
    <w:tmpl w:val="A1BADB72"/>
    <w:lvl w:ilvl="0" w:tplc="1694A2F2">
      <w:start w:val="1"/>
      <w:numFmt w:val="decimal"/>
      <w:lvlText w:val="%1、"/>
      <w:lvlJc w:val="left"/>
      <w:pPr>
        <w:tabs>
          <w:tab w:pos="830" w:val="num"/>
        </w:tabs>
        <w:ind w:hanging="360" w:left="830"/>
      </w:pPr>
      <w:rPr>
        <w:rFonts w:ascii="宋体" w:hint="default"/>
        <w:color w:val="auto"/>
      </w:rPr>
    </w:lvl>
    <w:lvl w:ilvl="1" w:tentative="1" w:tplc="04090019">
      <w:start w:val="1"/>
      <w:numFmt w:val="lowerLetter"/>
      <w:lvlText w:val="%2)"/>
      <w:lvlJc w:val="left"/>
      <w:pPr>
        <w:tabs>
          <w:tab w:pos="1310" w:val="num"/>
        </w:tabs>
        <w:ind w:hanging="420" w:left="1310"/>
      </w:pPr>
    </w:lvl>
    <w:lvl w:ilvl="2" w:tentative="1" w:tplc="0409001B">
      <w:start w:val="1"/>
      <w:numFmt w:val="lowerRoman"/>
      <w:lvlText w:val="%3."/>
      <w:lvlJc w:val="right"/>
      <w:pPr>
        <w:tabs>
          <w:tab w:pos="1730" w:val="num"/>
        </w:tabs>
        <w:ind w:hanging="420" w:left="1730"/>
      </w:pPr>
    </w:lvl>
    <w:lvl w:ilvl="3" w:tentative="1" w:tplc="0409000F">
      <w:start w:val="1"/>
      <w:numFmt w:val="decimal"/>
      <w:lvlText w:val="%4."/>
      <w:lvlJc w:val="left"/>
      <w:pPr>
        <w:tabs>
          <w:tab w:pos="2150" w:val="num"/>
        </w:tabs>
        <w:ind w:hanging="420" w:left="2150"/>
      </w:pPr>
    </w:lvl>
    <w:lvl w:ilvl="4" w:tentative="1" w:tplc="04090019">
      <w:start w:val="1"/>
      <w:numFmt w:val="lowerLetter"/>
      <w:lvlText w:val="%5)"/>
      <w:lvlJc w:val="left"/>
      <w:pPr>
        <w:tabs>
          <w:tab w:pos="2570" w:val="num"/>
        </w:tabs>
        <w:ind w:hanging="420" w:left="2570"/>
      </w:pPr>
    </w:lvl>
    <w:lvl w:ilvl="5" w:tentative="1" w:tplc="0409001B">
      <w:start w:val="1"/>
      <w:numFmt w:val="lowerRoman"/>
      <w:lvlText w:val="%6."/>
      <w:lvlJc w:val="right"/>
      <w:pPr>
        <w:tabs>
          <w:tab w:pos="2990" w:val="num"/>
        </w:tabs>
        <w:ind w:hanging="420" w:left="2990"/>
      </w:pPr>
    </w:lvl>
    <w:lvl w:ilvl="6" w:tentative="1" w:tplc="0409000F">
      <w:start w:val="1"/>
      <w:numFmt w:val="decimal"/>
      <w:lvlText w:val="%7."/>
      <w:lvlJc w:val="left"/>
      <w:pPr>
        <w:tabs>
          <w:tab w:pos="3410" w:val="num"/>
        </w:tabs>
        <w:ind w:hanging="420" w:left="3410"/>
      </w:pPr>
    </w:lvl>
    <w:lvl w:ilvl="7" w:tentative="1" w:tplc="04090019">
      <w:start w:val="1"/>
      <w:numFmt w:val="lowerLetter"/>
      <w:lvlText w:val="%8)"/>
      <w:lvlJc w:val="left"/>
      <w:pPr>
        <w:tabs>
          <w:tab w:pos="3830" w:val="num"/>
        </w:tabs>
        <w:ind w:hanging="420" w:left="3830"/>
      </w:pPr>
    </w:lvl>
    <w:lvl w:ilvl="8" w:tentative="1" w:tplc="0409001B">
      <w:start w:val="1"/>
      <w:numFmt w:val="lowerRoman"/>
      <w:lvlText w:val="%9."/>
      <w:lvlJc w:val="right"/>
      <w:pPr>
        <w:tabs>
          <w:tab w:pos="4250" w:val="num"/>
        </w:tabs>
        <w:ind w:hanging="420" w:left="4250"/>
      </w:pPr>
    </w:lvl>
  </w:abstractNum>
  <w:num w:numId="1">
    <w:abstractNumId w:val="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bordersDoNotSurroundHeader/>
  <w:bordersDoNotSurroundFooter/>
  <w:proofState w:spelling="clean"/>
  <w:stylePaneFormatFilter w:val="3F01"/>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spidmax="8194"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5BBB"/>
    <w:rsid w:val="00075CA2"/>
    <w:rsid w:val="0007770D"/>
    <w:rsid w:val="000873A2"/>
    <w:rsid w:val="000911B4"/>
    <w:rsid w:val="000A2D74"/>
    <w:rsid w:val="000A6B57"/>
    <w:rsid w:val="000A7480"/>
    <w:rsid w:val="000B2044"/>
    <w:rsid w:val="000B2266"/>
    <w:rsid w:val="000B6615"/>
    <w:rsid w:val="000C469F"/>
    <w:rsid w:val="000D0F44"/>
    <w:rsid w:val="000D6294"/>
    <w:rsid w:val="000D66F0"/>
    <w:rsid w:val="000E0F6E"/>
    <w:rsid w:val="000E4C40"/>
    <w:rsid w:val="000E5695"/>
    <w:rsid w:val="000F1795"/>
    <w:rsid w:val="000F2DA3"/>
    <w:rsid w:val="000F3C21"/>
    <w:rsid w:val="000F4826"/>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5022C"/>
    <w:rsid w:val="0035215C"/>
    <w:rsid w:val="00362E2A"/>
    <w:rsid w:val="00363ED1"/>
    <w:rsid w:val="00371E26"/>
    <w:rsid w:val="00373AAB"/>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6FA5"/>
    <w:rsid w:val="005F05D6"/>
    <w:rsid w:val="005F17EC"/>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3BA5"/>
    <w:rsid w:val="00684A5A"/>
    <w:rsid w:val="0069018A"/>
    <w:rsid w:val="006911A1"/>
    <w:rsid w:val="00693EE6"/>
    <w:rsid w:val="006A1E40"/>
    <w:rsid w:val="006A2D00"/>
    <w:rsid w:val="006B4C67"/>
    <w:rsid w:val="006C671E"/>
    <w:rsid w:val="006C7553"/>
    <w:rsid w:val="006D27DD"/>
    <w:rsid w:val="006D4647"/>
    <w:rsid w:val="006D4C22"/>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4638"/>
    <w:rsid w:val="008E71D2"/>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2EB2"/>
    <w:rsid w:val="00B13F60"/>
    <w:rsid w:val="00B2239A"/>
    <w:rsid w:val="00B25119"/>
    <w:rsid w:val="00B26FE5"/>
    <w:rsid w:val="00B27004"/>
    <w:rsid w:val="00B33F45"/>
    <w:rsid w:val="00B33FA5"/>
    <w:rsid w:val="00B415B8"/>
    <w:rsid w:val="00B420AC"/>
    <w:rsid w:val="00B4354A"/>
    <w:rsid w:val="00B54CC5"/>
    <w:rsid w:val="00B60E27"/>
    <w:rsid w:val="00B64D62"/>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E7C60"/>
    <w:rsid w:val="00DF1198"/>
    <w:rsid w:val="00DF2D90"/>
    <w:rsid w:val="00E12082"/>
    <w:rsid w:val="00E21589"/>
    <w:rsid w:val="00E24D9E"/>
    <w:rsid w:val="00E257C8"/>
    <w:rsid w:val="00E26581"/>
    <w:rsid w:val="00E2722E"/>
    <w:rsid w:val="00E27752"/>
    <w:rsid w:val="00E3447D"/>
    <w:rsid w:val="00E428F6"/>
    <w:rsid w:val="00E431CE"/>
    <w:rsid w:val="00E445F8"/>
    <w:rsid w:val="00E503E4"/>
    <w:rsid w:val="00E5134D"/>
    <w:rsid w:val="00E55E02"/>
    <w:rsid w:val="00E571C4"/>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A3D96"/>
    <w:rsid w:val="00EA4C82"/>
    <w:rsid w:val="00EA6B69"/>
    <w:rsid w:val="00EA6B7B"/>
    <w:rsid w:val="00EB25E4"/>
    <w:rsid w:val="00EB3D8B"/>
    <w:rsid w:val="00ED1B77"/>
    <w:rsid w:val="00ED1E31"/>
    <w:rsid w:val="00ED5511"/>
    <w:rsid w:val="00ED57D1"/>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406E3"/>
    <w:rsid w:val="00F40C82"/>
    <w:rsid w:val="00F41AA6"/>
    <w:rsid w:val="00F5114E"/>
    <w:rsid w:val="00F53B1A"/>
    <w:rsid w:val="00F54568"/>
    <w:rsid w:val="00F57249"/>
    <w:rsid w:val="00F60094"/>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57A1"/>
    <w:rsid w:val="00FD3820"/>
    <w:rsid w:val="00FE2508"/>
    <w:rsid w:val="00FE3301"/>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8194" v:ext="edit"/>
    <o:shapelayout v:ext="edit">
      <o:idmap data="1" v:ext="edit"/>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宋体" w:hAnsi="Times New Roman"/>
        <w:lang w:bidi="ar-SA" w:eastAsia="zh-CN" w:val="en-US"/>
      </w:rPr>
    </w:rPrDefault>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header" w:uiPriority="99"/>
    <w:lsdException w:name="caption" w:qFormat="1" w:semiHidden="1" w:unhideWhenUsed="1"/>
    <w:lsdException w:name="Title" w:qFormat="1"/>
    <w:lsdException w:name="Subtitle" w:qFormat="1"/>
    <w:lsdException w:name="Strong" w:qFormat="1" w:uiPriority="22"/>
    <w:lsdException w:name="Emphasis" w:qFormat="1"/>
    <w:lsdException w:name="Plain Text" w:uiPriority="99"/>
    <w:lsdException w:name="Table Grid" w:qFormat="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atentStyles>
  <w:style w:default="1" w:styleId="a" w:type="paragraph">
    <w:name w:val="Normal"/>
    <w:qFormat/>
    <w:rsid w:val="00075BBB"/>
    <w:pPr>
      <w:widowControl w:val="0"/>
      <w:jc w:val="both"/>
    </w:pPr>
    <w:rPr>
      <w:kern w:val="2"/>
      <w:sz w:val="21"/>
      <w:szCs w:val="24"/>
    </w:rPr>
  </w:style>
  <w:style w:styleId="1" w:type="paragraph">
    <w:name w:val="heading 1"/>
    <w:basedOn w:val="a"/>
    <w:next w:val="a"/>
    <w:link w:val="1Char"/>
    <w:qFormat/>
    <w:rsid w:val="00CA65DD"/>
    <w:pPr>
      <w:keepNext/>
      <w:keepLines/>
      <w:spacing w:after="330" w:before="340" w:line="578" w:lineRule="auto"/>
      <w:outlineLvl w:val="0"/>
    </w:pPr>
    <w:rPr>
      <w:b/>
      <w:bCs/>
      <w:kern w:val="44"/>
      <w:sz w:val="44"/>
      <w:szCs w:val="44"/>
    </w:rPr>
  </w:style>
  <w:style w:styleId="2" w:type="paragraph">
    <w:name w:val="heading 2"/>
    <w:basedOn w:val="a"/>
    <w:next w:val="a0"/>
    <w:qFormat/>
    <w:rsid w:val="009D74FC"/>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qFormat/>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4" w:type="paragraph">
    <w:name w:val="header"/>
    <w:basedOn w:val="a"/>
    <w:link w:val="Char"/>
    <w:uiPriority w:val="99"/>
    <w:rsid w:val="00613327"/>
    <w:pPr>
      <w:pBdr>
        <w:bottom w:color="auto" w:space="1" w:sz="6" w:val="single"/>
      </w:pBdr>
      <w:tabs>
        <w:tab w:pos="4153" w:val="center"/>
        <w:tab w:pos="8306" w:val="right"/>
      </w:tabs>
      <w:snapToGrid w:val="0"/>
      <w:jc w:val="center"/>
    </w:pPr>
    <w:rPr>
      <w:sz w:val="18"/>
      <w:szCs w:val="18"/>
    </w:rPr>
  </w:style>
  <w:style w:styleId="a5" w:type="paragraph">
    <w:name w:val="footer"/>
    <w:basedOn w:val="a"/>
    <w:rsid w:val="00613327"/>
    <w:pPr>
      <w:tabs>
        <w:tab w:pos="4153" w:val="center"/>
        <w:tab w:pos="8306" w:val="right"/>
      </w:tabs>
      <w:snapToGrid w:val="0"/>
      <w:jc w:val="left"/>
    </w:pPr>
    <w:rPr>
      <w:sz w:val="18"/>
      <w:szCs w:val="18"/>
    </w:rPr>
  </w:style>
  <w:style w:customStyle="1" w:styleId="Char0" w:type="paragraph">
    <w:name w:val="Char"/>
    <w:basedOn w:val="a"/>
    <w:rsid w:val="00186667"/>
  </w:style>
  <w:style w:styleId="20" w:type="paragraph">
    <w:name w:val="Body Text Indent 2"/>
    <w:basedOn w:val="a"/>
    <w:rsid w:val="00186667"/>
    <w:pPr>
      <w:spacing w:line="560" w:lineRule="exact"/>
      <w:ind w:firstLine="480" w:firstLineChars="200"/>
    </w:pPr>
    <w:rPr>
      <w:rFonts w:ascii="宋体" w:hAnsi="宋体"/>
      <w:color w:val="FF0000"/>
      <w:sz w:val="24"/>
    </w:rPr>
  </w:style>
  <w:style w:styleId="a6" w:type="paragraph">
    <w:name w:val="Plain Text"/>
    <w:basedOn w:val="a"/>
    <w:link w:val="Char1"/>
    <w:uiPriority w:val="99"/>
    <w:rsid w:val="004771B9"/>
    <w:rPr>
      <w:rFonts w:ascii="宋体" w:hAnsi="Courier New"/>
      <w:szCs w:val="21"/>
    </w:rPr>
  </w:style>
  <w:style w:styleId="3" w:type="paragraph">
    <w:name w:val="Body Text Indent 3"/>
    <w:basedOn w:val="a"/>
    <w:rsid w:val="004771B9"/>
    <w:pPr>
      <w:spacing w:after="120"/>
      <w:ind w:left="420" w:leftChars="200"/>
    </w:pPr>
    <w:rPr>
      <w:sz w:val="16"/>
      <w:szCs w:val="16"/>
    </w:rPr>
  </w:style>
  <w:style w:styleId="a0" w:type="paragraph">
    <w:name w:val="Normal Indent"/>
    <w:basedOn w:val="a"/>
    <w:rsid w:val="009D74FC"/>
    <w:pPr>
      <w:ind w:firstLine="420" w:firstLineChars="200"/>
    </w:pPr>
  </w:style>
  <w:style w:styleId="a7" w:type="paragraph">
    <w:name w:val="Document Map"/>
    <w:basedOn w:val="a"/>
    <w:semiHidden/>
    <w:rsid w:val="005212AE"/>
    <w:pPr>
      <w:shd w:color="auto" w:fill="000080" w:val="clear"/>
    </w:pPr>
  </w:style>
  <w:style w:customStyle="1" w:styleId="Char1" w:type="character">
    <w:name w:val="纯文本 Char"/>
    <w:link w:val="a6"/>
    <w:uiPriority w:val="99"/>
    <w:rsid w:val="00E63B3D"/>
    <w:rPr>
      <w:rFonts w:ascii="宋体" w:hAnsi="Courier New"/>
      <w:kern w:val="2"/>
      <w:sz w:val="21"/>
      <w:szCs w:val="21"/>
    </w:rPr>
  </w:style>
  <w:style w:styleId="a8" w:type="paragraph">
    <w:name w:val="Balloon Text"/>
    <w:basedOn w:val="a"/>
    <w:link w:val="Char2"/>
    <w:rsid w:val="00E63B3D"/>
    <w:rPr>
      <w:sz w:val="18"/>
      <w:szCs w:val="18"/>
    </w:rPr>
  </w:style>
  <w:style w:customStyle="1" w:styleId="Char2" w:type="character">
    <w:name w:val="批注框文本 Char"/>
    <w:basedOn w:val="a1"/>
    <w:link w:val="a8"/>
    <w:rsid w:val="00E63B3D"/>
    <w:rPr>
      <w:kern w:val="2"/>
      <w:sz w:val="18"/>
      <w:szCs w:val="18"/>
    </w:rPr>
  </w:style>
  <w:style w:styleId="a9" w:type="paragraph">
    <w:name w:val="List Paragraph"/>
    <w:basedOn w:val="a"/>
    <w:uiPriority w:val="34"/>
    <w:qFormat/>
    <w:rsid w:val="005F668B"/>
    <w:pPr>
      <w:ind w:firstLine="420" w:firstLineChars="200"/>
    </w:pPr>
  </w:style>
  <w:style w:styleId="aa" w:type="table">
    <w:name w:val="Table Grid"/>
    <w:basedOn w:val="a2"/>
    <w:qFormat/>
    <w:rsid w:val="005A60B7"/>
    <w:tblPr>
      <w:tblInd w:type="dxa" w:w="0"/>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type="dxa" w:w="0"/>
        <w:left w:type="dxa" w:w="108"/>
        <w:bottom w:type="dxa" w:w="0"/>
        <w:right w:type="dxa" w:w="108"/>
      </w:tblCellMar>
    </w:tblPr>
  </w:style>
  <w:style w:styleId="ab" w:type="paragraph">
    <w:name w:val="Normal (Web)"/>
    <w:basedOn w:val="a"/>
    <w:rsid w:val="008B23BD"/>
    <w:pPr>
      <w:widowControl/>
      <w:spacing w:after="100" w:afterAutospacing="1" w:before="100" w:beforeAutospacing="1"/>
    </w:pPr>
    <w:rPr>
      <w:rFonts w:ascii="宋体" w:hAnsi="宋体"/>
      <w:kern w:val="0"/>
      <w:sz w:val="24"/>
      <w:szCs w:val="20"/>
    </w:rPr>
  </w:style>
  <w:style w:customStyle="1" w:styleId="Char" w:type="character">
    <w:name w:val="页眉 Char"/>
    <w:basedOn w:val="a1"/>
    <w:link w:val="a4"/>
    <w:uiPriority w:val="99"/>
    <w:rsid w:val="008379E2"/>
    <w:rPr>
      <w:kern w:val="2"/>
      <w:sz w:val="18"/>
      <w:szCs w:val="18"/>
    </w:rPr>
  </w:style>
  <w:style w:customStyle="1" w:styleId="1Char" w:type="character">
    <w:name w:val="标题 1 Char"/>
    <w:basedOn w:val="a1"/>
    <w:link w:val="1"/>
    <w:rsid w:val="00CA65DD"/>
    <w:rPr>
      <w:b/>
      <w:bCs/>
      <w:kern w:val="44"/>
      <w:sz w:val="44"/>
      <w:szCs w:val="44"/>
    </w:rPr>
  </w:style>
  <w:style w:styleId="ac" w:type="paragraph">
    <w:name w:val="Date"/>
    <w:basedOn w:val="a"/>
    <w:next w:val="a"/>
    <w:link w:val="Char3"/>
    <w:rsid w:val="00D66016"/>
    <w:rPr>
      <w:sz w:val="24"/>
      <w:szCs w:val="20"/>
    </w:rPr>
  </w:style>
  <w:style w:customStyle="1" w:styleId="Char3" w:type="character">
    <w:name w:val="日期 Char"/>
    <w:basedOn w:val="a1"/>
    <w:link w:val="ac"/>
    <w:rsid w:val="00D66016"/>
    <w:rPr>
      <w:kern w:val="2"/>
      <w:sz w:val="24"/>
    </w:rPr>
  </w:style>
  <w:style w:styleId="ad" w:type="character">
    <w:name w:val="Strong"/>
    <w:basedOn w:val="a1"/>
    <w:uiPriority w:val="22"/>
    <w:qFormat/>
    <w:rsid w:val="00A217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613327"/>
    <w:pPr>
      <w:pBdr>
        <w:bottom w:val="single" w:sz="6" w:space="1" w:color="auto"/>
      </w:pBdr>
      <w:tabs>
        <w:tab w:val="center" w:pos="4153"/>
        <w:tab w:val="right" w:pos="8306"/>
      </w:tabs>
      <w:snapToGrid w:val="0"/>
      <w:jc w:val="center"/>
    </w:pPr>
    <w:rPr>
      <w:sz w:val="18"/>
      <w:szCs w:val="18"/>
    </w:rPr>
  </w:style>
  <w:style w:type="paragraph" w:styleId="a5">
    <w:name w:val="footer"/>
    <w:basedOn w:val="a"/>
    <w:rsid w:val="00613327"/>
    <w:pPr>
      <w:tabs>
        <w:tab w:val="center" w:pos="4153"/>
        <w:tab w:val="right" w:pos="8306"/>
      </w:tabs>
      <w:snapToGrid w:val="0"/>
      <w:jc w:val="left"/>
    </w:pPr>
    <w:rPr>
      <w:sz w:val="18"/>
      <w:szCs w:val="18"/>
    </w:rPr>
  </w:style>
  <w:style w:type="paragraph" w:customStyle="1" w:styleId="Char0">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s>
</file>

<file path=word/webSettings.xml><?xml version="1.0" encoding="utf-8"?>
<w:webSettings xmlns:r="http://schemas.openxmlformats.org/officeDocument/2006/relationships" xmlns:w="http://schemas.openxmlformats.org/wordprocessingml/2006/main">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ntTable.xml" Type="http://schemas.openxmlformats.org/officeDocument/2006/relationships/fontTable"/>
<Relationship Id="rId17" Target="theme/theme1.xml" Type="http://schemas.openxmlformats.org/officeDocument/2006/relationships/theme"/>
<Relationship Id="rId18" Target="stylesWithEffects.xml" Type="http://schemas.microsoft.com/office/2007/relationships/stylesWithEffects"/>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72A1109-F435-45F1-BF4E-42ABB0D9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23</Pages>
  <Words>3593</Words>
  <Characters>20485</Characters>
  <Application>Microsoft Office Word</Application>
  <DocSecurity>0</DocSecurity>
  <Lines>170</Lines>
  <Paragraphs>48</Paragraphs>
  <ScaleCrop>false</ScaleCrop>
  <Company>jysld</Company>
  <LinksUpToDate>false</LinksUpToDate>
  <CharactersWithSpaces>24030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2012-11-21T05:49:00Z</dcterms:created>
  <cp:lastModifiedBy>Administrator</cp:lastModifiedBy>
  <cp:lastPrinted>2009-01-22T10:11:00Z</cp:lastPrinted>
  <dcterms:modified xsi:type="dcterms:W3CDTF">2018-03-30T07:36:00Z</dcterms:modified>
  <cp:revision>314</cp:revision>
</cp:coreProperties>
</file>