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0C1E17" w:rsidRPr="00414345" w:rsidRDefault="000C1E17" w:rsidP="00C15CAC">
      <w:pPr>
        <w:autoSpaceDE w:val="0"/>
        <w:autoSpaceDN w:val="0"/>
        <w:adjustRightInd w:val="0"/>
        <w:spacing w:before="29" w:line="288" w:lineRule="auto"/>
        <w:jc w:val="left"/>
        <w:rPr>
          <w:color w:val="000000"/>
          <w:kern w:val="0"/>
          <w:sz w:val="24"/>
          <w:szCs w:val="24"/>
        </w:rPr>
      </w:pPr>
    </w:p>
    <w:p w:rsidR="002279D3" w:rsidRPr="0081286B" w:rsidRDefault="002279D3" w:rsidP="00C15CAC">
      <w:pPr>
        <w:spacing w:before="29" w:line="288" w:lineRule="auto"/>
        <w:jc w:val="center"/>
        <w:rPr>
          <w:b/>
          <w:sz w:val="36"/>
          <w:szCs w:val="36"/>
        </w:rPr>
      </w:pPr>
      <w:r w:rsidRPr="0081286B">
        <w:rPr>
          <w:b/>
          <w:sz w:val="36"/>
          <w:szCs w:val="36"/>
        </w:rPr>
        <w:t>交银施罗德品质升级混合型证券投资基金</w:t>
      </w:r>
    </w:p>
    <w:p w:rsidR="002279D3" w:rsidRPr="0081286B" w:rsidRDefault="002279D3" w:rsidP="00C15CAC">
      <w:pPr>
        <w:spacing w:before="29" w:line="288" w:lineRule="auto"/>
        <w:jc w:val="center"/>
        <w:rPr>
          <w:b/>
          <w:sz w:val="36"/>
          <w:szCs w:val="36"/>
        </w:rPr>
      </w:pPr>
      <w:r w:rsidRPr="0081286B">
        <w:rPr>
          <w:b/>
          <w:sz w:val="36"/>
          <w:szCs w:val="36"/>
        </w:rPr>
        <w:t>2018</w:t>
      </w:r>
      <w:r w:rsidRPr="0081286B">
        <w:rPr>
          <w:b/>
          <w:sz w:val="36"/>
          <w:szCs w:val="36"/>
        </w:rPr>
        <w:t>年第</w:t>
      </w:r>
      <w:r w:rsidRPr="0081286B">
        <w:rPr>
          <w:b/>
          <w:sz w:val="36"/>
          <w:szCs w:val="36"/>
        </w:rPr>
        <w:t>4</w:t>
      </w:r>
      <w:r w:rsidRPr="0081286B">
        <w:rPr>
          <w:b/>
          <w:sz w:val="36"/>
          <w:szCs w:val="36"/>
        </w:rPr>
        <w:t>季度报告</w:t>
      </w:r>
    </w:p>
    <w:p w:rsidR="004061AC" w:rsidRPr="0081286B" w:rsidRDefault="00655CD8" w:rsidP="00C15CAC">
      <w:pPr>
        <w:spacing w:before="29" w:line="288" w:lineRule="auto"/>
        <w:jc w:val="center"/>
        <w:rPr>
          <w:b/>
          <w:sz w:val="36"/>
          <w:szCs w:val="36"/>
        </w:rPr>
      </w:pPr>
      <w:r w:rsidRPr="0081286B">
        <w:rPr>
          <w:b/>
          <w:sz w:val="36"/>
          <w:szCs w:val="36"/>
        </w:rPr>
        <w:t>2018</w:t>
      </w:r>
      <w:r w:rsidRPr="0081286B">
        <w:rPr>
          <w:b/>
          <w:sz w:val="36"/>
          <w:szCs w:val="36"/>
        </w:rPr>
        <w:t>年</w:t>
      </w:r>
      <w:r w:rsidRPr="0081286B">
        <w:rPr>
          <w:b/>
          <w:sz w:val="36"/>
          <w:szCs w:val="36"/>
        </w:rPr>
        <w:t>12</w:t>
      </w:r>
      <w:r w:rsidRPr="0081286B">
        <w:rPr>
          <w:b/>
          <w:sz w:val="36"/>
          <w:szCs w:val="36"/>
        </w:rPr>
        <w:t>月</w:t>
      </w:r>
      <w:r w:rsidRPr="0081286B">
        <w:rPr>
          <w:b/>
          <w:sz w:val="36"/>
          <w:szCs w:val="36"/>
        </w:rPr>
        <w:t>31</w:t>
      </w:r>
      <w:r w:rsidRPr="0081286B">
        <w:rPr>
          <w:b/>
          <w:sz w:val="36"/>
          <w:szCs w:val="36"/>
        </w:rPr>
        <w:t>日</w:t>
      </w: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4061AC" w:rsidRPr="00414345" w:rsidRDefault="004061AC" w:rsidP="00C15CAC">
      <w:pPr>
        <w:spacing w:before="29" w:line="288" w:lineRule="auto"/>
        <w:jc w:val="center"/>
        <w:rPr>
          <w:b/>
          <w:bCs/>
          <w:color w:val="000000"/>
          <w:sz w:val="24"/>
          <w:szCs w:val="24"/>
        </w:rPr>
      </w:pP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基金管理人：交银施罗德基金管理有限公司</w:t>
      </w:r>
    </w:p>
    <w:p w:rsidR="00625BFC" w:rsidRPr="0081286B" w:rsidRDefault="004061AC" w:rsidP="00C15CAC">
      <w:pPr>
        <w:spacing w:before="29" w:line="288" w:lineRule="auto"/>
        <w:ind w:firstLineChars="900" w:firstLine="2168"/>
        <w:rPr>
          <w:b/>
          <w:color w:val="000000"/>
          <w:sz w:val="24"/>
          <w:szCs w:val="24"/>
        </w:rPr>
      </w:pPr>
      <w:r w:rsidRPr="0081286B">
        <w:rPr>
          <w:b/>
          <w:color w:val="000000"/>
          <w:sz w:val="24"/>
          <w:szCs w:val="24"/>
        </w:rPr>
        <w:t>基金托管人：中国农业银行股份有限公司</w:t>
      </w:r>
    </w:p>
    <w:p w:rsidR="004061AC" w:rsidRPr="0081286B" w:rsidRDefault="004061AC" w:rsidP="00C15CAC">
      <w:pPr>
        <w:spacing w:before="29" w:line="288" w:lineRule="auto"/>
        <w:ind w:firstLineChars="900" w:firstLine="2168"/>
        <w:rPr>
          <w:b/>
          <w:color w:val="000000"/>
          <w:sz w:val="24"/>
          <w:szCs w:val="24"/>
        </w:rPr>
        <w:sectPr w:rsidR="004061AC" w:rsidRPr="0081286B" w:rsidSect="00DC456F">
          <w:headerReference w:type="even" r:id="rId9"/>
          <w:headerReference w:type="default" r:id="rId10"/>
          <w:footerReference w:type="even" r:id="rId11"/>
          <w:footerReference w:type="default" r:id="rId12"/>
          <w:headerReference w:type="first" r:id="rId13"/>
          <w:footerReference w:type="first" r:id="rId14"/>
          <w:pgSz w:w="11926" w:h="15840"/>
          <w:pgMar w:top="1418" w:right="1440" w:bottom="851" w:left="1440" w:header="851" w:footer="992" w:gutter="0"/>
          <w:cols w:space="720"/>
          <w:noEndnote/>
          <w:titlePg/>
          <w:docGrid w:linePitch="286"/>
        </w:sectPr>
      </w:pPr>
      <w:r w:rsidRPr="0081286B">
        <w:rPr>
          <w:b/>
          <w:color w:val="000000"/>
          <w:sz w:val="24"/>
          <w:szCs w:val="24"/>
        </w:rPr>
        <w:t>报告送出日期：</w:t>
      </w:r>
      <w:r w:rsidR="00F16E3F" w:rsidRPr="0081286B">
        <w:rPr>
          <w:b/>
          <w:color w:val="000000"/>
          <w:sz w:val="24"/>
          <w:szCs w:val="24"/>
        </w:rPr>
        <w:t>二〇一九年一月二十一日</w:t>
      </w:r>
    </w:p>
    <w:p w:rsidR="004061AC" w:rsidRPr="00414345" w:rsidRDefault="004061AC" w:rsidP="00092A0A">
      <w:pPr>
        <w:pStyle w:val="1"/>
        <w:spacing w:beforeLines="100" w:before="312" w:afterLines="100" w:after="312" w:line="288" w:lineRule="auto"/>
        <w:jc w:val="center"/>
        <w:rPr>
          <w:b w:val="0"/>
          <w:bCs w:val="0"/>
          <w:color w:val="000000"/>
          <w:kern w:val="0"/>
          <w:sz w:val="24"/>
          <w:szCs w:val="24"/>
        </w:rPr>
      </w:pPr>
      <w:r w:rsidRPr="00414345">
        <w:rPr>
          <w:color w:val="000000"/>
          <w:kern w:val="0"/>
          <w:sz w:val="24"/>
          <w:szCs w:val="24"/>
        </w:rPr>
        <w:lastRenderedPageBreak/>
        <w:t xml:space="preserve">§1  </w:t>
      </w:r>
      <w:r w:rsidRPr="00414345">
        <w:rPr>
          <w:color w:val="000000"/>
          <w:kern w:val="0"/>
          <w:sz w:val="24"/>
          <w:szCs w:val="24"/>
        </w:rPr>
        <w:t>重要提示</w:t>
      </w:r>
    </w:p>
    <w:p w:rsidR="00A71754" w:rsidRDefault="001F1A20">
      <w:pPr>
        <w:spacing w:before="29" w:line="288" w:lineRule="auto"/>
        <w:ind w:firstLineChars="200" w:firstLine="480"/>
        <w:rPr>
          <w:color w:val="000000"/>
          <w:sz w:val="24"/>
          <w:szCs w:val="24"/>
        </w:rPr>
      </w:pPr>
      <w:r>
        <w:rPr>
          <w:color w:val="000000"/>
          <w:sz w:val="24"/>
          <w:szCs w:val="24"/>
        </w:rPr>
        <w:t>基金管理人的董事会及董事保证本报告所载资料不存在虚假记载、误导性陈述或重大遗漏，并对其内容的真实性、准确性和完整性承担个别及连带责任。</w:t>
      </w:r>
      <w:r>
        <w:rPr>
          <w:color w:val="000000"/>
          <w:sz w:val="24"/>
          <w:szCs w:val="24"/>
        </w:rPr>
        <w:t xml:space="preserve"> </w:t>
      </w:r>
    </w:p>
    <w:p w:rsidR="00A71754" w:rsidRDefault="001F1A20">
      <w:pPr>
        <w:spacing w:before="29" w:line="288" w:lineRule="auto"/>
        <w:ind w:firstLineChars="200" w:firstLine="480"/>
        <w:rPr>
          <w:color w:val="000000"/>
          <w:sz w:val="24"/>
          <w:szCs w:val="24"/>
        </w:rPr>
      </w:pPr>
      <w:r>
        <w:rPr>
          <w:color w:val="000000"/>
          <w:sz w:val="24"/>
          <w:szCs w:val="24"/>
        </w:rPr>
        <w:t>基金托管人中国农业银行股份有限公司根据本基金合同规定，于</w:t>
      </w:r>
      <w:r>
        <w:rPr>
          <w:color w:val="000000"/>
          <w:sz w:val="24"/>
          <w:szCs w:val="24"/>
        </w:rPr>
        <w:t>2019</w:t>
      </w:r>
      <w:r>
        <w:rPr>
          <w:color w:val="000000"/>
          <w:sz w:val="24"/>
          <w:szCs w:val="24"/>
        </w:rPr>
        <w:t>年</w:t>
      </w:r>
      <w:r>
        <w:rPr>
          <w:color w:val="000000"/>
          <w:sz w:val="24"/>
          <w:szCs w:val="24"/>
        </w:rPr>
        <w:t>1</w:t>
      </w:r>
      <w:r>
        <w:rPr>
          <w:color w:val="000000"/>
          <w:sz w:val="24"/>
          <w:szCs w:val="24"/>
        </w:rPr>
        <w:t>月</w:t>
      </w:r>
      <w:r>
        <w:rPr>
          <w:color w:val="000000"/>
          <w:sz w:val="24"/>
          <w:szCs w:val="24"/>
        </w:rPr>
        <w:t>18</w:t>
      </w:r>
      <w:r>
        <w:rPr>
          <w:color w:val="000000"/>
          <w:sz w:val="24"/>
          <w:szCs w:val="24"/>
        </w:rPr>
        <w:t>日复核了本报告中的财务指标、净值表现和投资组合报告等内容，保证复核内容不存在虚假记载、误导性陈述或者重大遗漏。</w:t>
      </w:r>
      <w:r>
        <w:rPr>
          <w:color w:val="000000"/>
          <w:sz w:val="24"/>
          <w:szCs w:val="24"/>
        </w:rPr>
        <w:t xml:space="preserve"> </w:t>
      </w:r>
    </w:p>
    <w:p w:rsidR="00A71754" w:rsidRDefault="001F1A20">
      <w:pPr>
        <w:spacing w:before="29" w:line="288" w:lineRule="auto"/>
        <w:ind w:firstLineChars="200" w:firstLine="480"/>
        <w:rPr>
          <w:color w:val="000000"/>
          <w:sz w:val="24"/>
          <w:szCs w:val="24"/>
        </w:rPr>
      </w:pPr>
      <w:r>
        <w:rPr>
          <w:color w:val="000000"/>
          <w:sz w:val="24"/>
          <w:szCs w:val="24"/>
        </w:rPr>
        <w:t>基金管理人承诺以诚实信用、勤勉尽责的原则管理和运用基金资产，但不保证基金一定盈利。</w:t>
      </w:r>
      <w:r>
        <w:rPr>
          <w:color w:val="000000"/>
          <w:sz w:val="24"/>
          <w:szCs w:val="24"/>
        </w:rPr>
        <w:t xml:space="preserve"> </w:t>
      </w:r>
    </w:p>
    <w:p w:rsidR="00A71754" w:rsidRDefault="001F1A20">
      <w:pPr>
        <w:spacing w:before="29" w:line="288" w:lineRule="auto"/>
        <w:ind w:firstLineChars="200" w:firstLine="480"/>
        <w:rPr>
          <w:color w:val="000000"/>
          <w:sz w:val="24"/>
          <w:szCs w:val="24"/>
        </w:rPr>
      </w:pPr>
      <w:r>
        <w:rPr>
          <w:color w:val="000000"/>
          <w:sz w:val="24"/>
          <w:szCs w:val="24"/>
        </w:rPr>
        <w:t>基金的过往业绩并不代表其未来表现。投资有风险，投资者在作出投资决策前应仔细阅读本基金的招募说明书。</w:t>
      </w:r>
      <w:r>
        <w:rPr>
          <w:color w:val="000000"/>
          <w:sz w:val="24"/>
          <w:szCs w:val="24"/>
        </w:rPr>
        <w:t xml:space="preserve"> </w:t>
      </w:r>
    </w:p>
    <w:p w:rsidR="00A71754" w:rsidRDefault="001F1A20">
      <w:pPr>
        <w:spacing w:before="29" w:line="288" w:lineRule="auto"/>
        <w:ind w:firstLineChars="200" w:firstLine="480"/>
        <w:rPr>
          <w:color w:val="000000"/>
          <w:sz w:val="24"/>
          <w:szCs w:val="24"/>
        </w:rPr>
      </w:pPr>
      <w:r>
        <w:rPr>
          <w:color w:val="000000"/>
          <w:sz w:val="24"/>
          <w:szCs w:val="24"/>
        </w:rPr>
        <w:t>本报告中财务资料未经审计。</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本报告期自</w:t>
      </w:r>
      <w:r w:rsidRPr="00414345">
        <w:rPr>
          <w:color w:val="000000"/>
          <w:sz w:val="24"/>
          <w:szCs w:val="24"/>
        </w:rPr>
        <w:t>2018</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日起至</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日止。</w:t>
      </w:r>
    </w:p>
    <w:p w:rsidR="00627E2D" w:rsidRPr="00414345" w:rsidRDefault="00627E2D" w:rsidP="00C15CAC">
      <w:pPr>
        <w:spacing w:before="29" w:line="288" w:lineRule="auto"/>
        <w:ind w:firstLineChars="200" w:firstLine="480"/>
        <w:rPr>
          <w:color w:val="000000"/>
          <w:sz w:val="24"/>
          <w:szCs w:val="24"/>
        </w:rPr>
      </w:pPr>
    </w:p>
    <w:p w:rsidR="004061AC" w:rsidRPr="00414345" w:rsidRDefault="004061AC" w:rsidP="00092A0A">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§2  </w:t>
      </w:r>
      <w:r w:rsidRPr="00414345">
        <w:rPr>
          <w:color w:val="000000"/>
          <w:kern w:val="0"/>
          <w:sz w:val="24"/>
          <w:szCs w:val="24"/>
        </w:rPr>
        <w:t>基金产品概况</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3"/>
        <w:gridCol w:w="5845"/>
      </w:tblGrid>
      <w:tr w:rsidR="004061AC" w:rsidRPr="00414345" w:rsidTr="006E6726">
        <w:trPr>
          <w:jc w:val="center"/>
        </w:trPr>
        <w:tc>
          <w:tcPr>
            <w:tcW w:w="3023" w:type="dxa"/>
            <w:vAlign w:val="center"/>
          </w:tcPr>
          <w:p w:rsidR="004061AC" w:rsidRPr="00414345" w:rsidRDefault="004061AC" w:rsidP="00C15CAC">
            <w:pPr>
              <w:adjustRightInd w:val="0"/>
              <w:spacing w:before="29" w:line="288" w:lineRule="auto"/>
              <w:ind w:left="17"/>
              <w:jc w:val="left"/>
              <w:rPr>
                <w:kern w:val="0"/>
                <w:sz w:val="24"/>
                <w:szCs w:val="24"/>
              </w:rPr>
            </w:pPr>
            <w:r w:rsidRPr="00414345">
              <w:rPr>
                <w:kern w:val="0"/>
                <w:sz w:val="24"/>
                <w:szCs w:val="24"/>
              </w:rPr>
              <w:t>基金简称</w:t>
            </w:r>
          </w:p>
        </w:tc>
        <w:tc>
          <w:tcPr>
            <w:tcW w:w="5845" w:type="dxa"/>
            <w:vAlign w:val="center"/>
          </w:tcPr>
          <w:p w:rsidR="004061AC" w:rsidRPr="00414345" w:rsidRDefault="004061AC" w:rsidP="00C15CAC">
            <w:pPr>
              <w:adjustRightInd w:val="0"/>
              <w:spacing w:before="29" w:line="288" w:lineRule="auto"/>
              <w:ind w:left="17"/>
              <w:jc w:val="left"/>
              <w:rPr>
                <w:color w:val="000000"/>
                <w:kern w:val="0"/>
                <w:sz w:val="24"/>
                <w:szCs w:val="24"/>
              </w:rPr>
            </w:pPr>
            <w:r w:rsidRPr="00414345">
              <w:rPr>
                <w:color w:val="000000"/>
                <w:kern w:val="0"/>
                <w:sz w:val="24"/>
                <w:szCs w:val="24"/>
              </w:rPr>
              <w:t>交银品质升级混合</w:t>
            </w:r>
          </w:p>
        </w:tc>
      </w:tr>
      <w:tr w:rsidR="00D94B8D"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kern w:val="0"/>
                <w:sz w:val="24"/>
                <w:szCs w:val="24"/>
              </w:rPr>
            </w:pPr>
            <w:r w:rsidRPr="00414345">
              <w:rPr>
                <w:kern w:val="0"/>
                <w:sz w:val="24"/>
                <w:szCs w:val="24"/>
              </w:rPr>
              <w:t>基金主代码</w:t>
            </w:r>
          </w:p>
        </w:tc>
        <w:tc>
          <w:tcPr>
            <w:tcW w:w="5845" w:type="dxa"/>
            <w:tcBorders>
              <w:top w:val="single" w:sz="4" w:space="0" w:color="auto"/>
              <w:left w:val="single" w:sz="4" w:space="0" w:color="auto"/>
              <w:bottom w:val="single" w:sz="4" w:space="0" w:color="auto"/>
              <w:right w:val="single" w:sz="4" w:space="0" w:color="auto"/>
            </w:tcBorders>
            <w:vAlign w:val="center"/>
            <w:hideMark/>
          </w:tcPr>
          <w:p w:rsidR="00D94B8D" w:rsidRPr="00414345" w:rsidRDefault="00D94B8D" w:rsidP="00C15CAC">
            <w:pPr>
              <w:adjustRightInd w:val="0"/>
              <w:spacing w:before="29" w:line="288" w:lineRule="auto"/>
              <w:ind w:left="17"/>
              <w:jc w:val="left"/>
              <w:rPr>
                <w:color w:val="000000"/>
                <w:kern w:val="0"/>
                <w:sz w:val="24"/>
                <w:szCs w:val="24"/>
              </w:rPr>
            </w:pPr>
            <w:r w:rsidRPr="00414345">
              <w:rPr>
                <w:color w:val="000000"/>
                <w:kern w:val="0"/>
                <w:sz w:val="24"/>
                <w:szCs w:val="24"/>
              </w:rPr>
              <w:t>005004</w:t>
            </w:r>
          </w:p>
        </w:tc>
      </w:tr>
      <w:tr w:rsidR="001B2F35" w:rsidRPr="00414345" w:rsidTr="006E6726">
        <w:trPr>
          <w:jc w:val="center"/>
        </w:trPr>
        <w:tc>
          <w:tcPr>
            <w:tcW w:w="3023" w:type="dxa"/>
            <w:tcBorders>
              <w:top w:val="single" w:sz="4" w:space="0" w:color="auto"/>
              <w:left w:val="single" w:sz="4" w:space="0" w:color="auto"/>
              <w:bottom w:val="single" w:sz="4" w:space="0" w:color="auto"/>
              <w:right w:val="single" w:sz="4" w:space="0" w:color="auto"/>
            </w:tcBorders>
            <w:vAlign w:val="center"/>
          </w:tcPr>
          <w:p w:rsidR="001B2F35" w:rsidRPr="00414345" w:rsidRDefault="001B2F35" w:rsidP="00C15CAC">
            <w:pPr>
              <w:adjustRightInd w:val="0"/>
              <w:spacing w:before="29" w:line="288" w:lineRule="auto"/>
              <w:ind w:left="17"/>
              <w:jc w:val="left"/>
              <w:rPr>
                <w:kern w:val="0"/>
                <w:sz w:val="24"/>
                <w:szCs w:val="24"/>
              </w:rPr>
            </w:pPr>
            <w:r w:rsidRPr="00414345">
              <w:rPr>
                <w:kern w:val="0"/>
                <w:sz w:val="24"/>
                <w:szCs w:val="24"/>
              </w:rPr>
              <w:t>交易代码</w:t>
            </w:r>
          </w:p>
        </w:tc>
        <w:tc>
          <w:tcPr>
            <w:tcW w:w="5845" w:type="dxa"/>
            <w:tcBorders>
              <w:top w:val="single" w:sz="4" w:space="0" w:color="auto"/>
              <w:left w:val="single" w:sz="4" w:space="0" w:color="auto"/>
              <w:bottom w:val="single" w:sz="4" w:space="0" w:color="auto"/>
              <w:right w:val="single" w:sz="4" w:space="0" w:color="auto"/>
            </w:tcBorders>
            <w:vAlign w:val="center"/>
          </w:tcPr>
          <w:p w:rsidR="001B2F35" w:rsidRPr="00414345" w:rsidRDefault="00C5218C" w:rsidP="00C15CAC">
            <w:pPr>
              <w:adjustRightInd w:val="0"/>
              <w:spacing w:before="29" w:line="288" w:lineRule="auto"/>
              <w:ind w:left="17"/>
              <w:jc w:val="left"/>
              <w:rPr>
                <w:color w:val="000000"/>
                <w:kern w:val="0"/>
                <w:sz w:val="24"/>
                <w:szCs w:val="24"/>
              </w:rPr>
            </w:pPr>
            <w:r w:rsidRPr="00414345">
              <w:rPr>
                <w:kern w:val="0"/>
                <w:sz w:val="24"/>
              </w:rPr>
              <w:t>005004</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基金运作方式</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契约型开放式</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基金合同生效日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2018</w:t>
            </w:r>
            <w:r w:rsidRPr="00414345">
              <w:rPr>
                <w:color w:val="000000"/>
                <w:kern w:val="0"/>
                <w:sz w:val="24"/>
                <w:szCs w:val="24"/>
              </w:rPr>
              <w:t>年</w:t>
            </w:r>
            <w:r w:rsidRPr="00414345">
              <w:rPr>
                <w:color w:val="000000"/>
                <w:kern w:val="0"/>
                <w:sz w:val="24"/>
                <w:szCs w:val="24"/>
              </w:rPr>
              <w:t>2</w:t>
            </w:r>
            <w:r w:rsidRPr="00414345">
              <w:rPr>
                <w:color w:val="000000"/>
                <w:kern w:val="0"/>
                <w:sz w:val="24"/>
                <w:szCs w:val="24"/>
              </w:rPr>
              <w:t>月</w:t>
            </w:r>
            <w:r w:rsidRPr="00414345">
              <w:rPr>
                <w:color w:val="000000"/>
                <w:kern w:val="0"/>
                <w:sz w:val="24"/>
                <w:szCs w:val="24"/>
              </w:rPr>
              <w:t>8</w:t>
            </w:r>
            <w:r w:rsidRPr="00414345">
              <w:rPr>
                <w:color w:val="000000"/>
                <w:kern w:val="0"/>
                <w:sz w:val="24"/>
                <w:szCs w:val="24"/>
              </w:rPr>
              <w:t>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报告期末基金份额总额</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1,698,785,312.26</w:t>
            </w:r>
            <w:r w:rsidRPr="00414345">
              <w:rPr>
                <w:color w:val="000000"/>
                <w:kern w:val="0"/>
                <w:sz w:val="24"/>
                <w:szCs w:val="24"/>
              </w:rPr>
              <w:t>份</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投资目标</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本基金在有效控制投资风险的前提下，聚焦居民生活品质升级的方向和趋势，通过把握消费成长领域的投资机会，力争为基金份额持有人获得超越业绩比较基准的收益。</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投资策略</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充分发挥基金管理人的研究优势，在分析和判断宏观经济周期和金融市场运行趋势的基础上，运用修正后的投资时钟分析框架，自上而下调整基金大类资产配置，确定债券组合久期和债券类别配置；在严谨深入的股票和债券研究分析基础上，自下而上精选个券；在保持总体风险水平相对稳定的基础上，力争获取投资组合的较高回报。</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业绩比较基准</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沪深</w:t>
            </w:r>
            <w:r w:rsidRPr="00414345">
              <w:rPr>
                <w:color w:val="000000"/>
                <w:kern w:val="0"/>
                <w:sz w:val="24"/>
                <w:szCs w:val="24"/>
              </w:rPr>
              <w:t>300</w:t>
            </w:r>
            <w:r w:rsidRPr="00414345">
              <w:rPr>
                <w:color w:val="000000"/>
                <w:kern w:val="0"/>
                <w:sz w:val="24"/>
                <w:szCs w:val="24"/>
              </w:rPr>
              <w:t>指数收益率</w:t>
            </w:r>
            <w:r w:rsidRPr="00414345">
              <w:rPr>
                <w:color w:val="000000"/>
                <w:kern w:val="0"/>
                <w:sz w:val="24"/>
                <w:szCs w:val="24"/>
              </w:rPr>
              <w:t>×60%+</w:t>
            </w:r>
            <w:r w:rsidRPr="00414345">
              <w:rPr>
                <w:color w:val="000000"/>
                <w:kern w:val="0"/>
                <w:sz w:val="24"/>
                <w:szCs w:val="24"/>
              </w:rPr>
              <w:t>中证综合债券指数收益率</w:t>
            </w:r>
            <w:r w:rsidRPr="00414345">
              <w:rPr>
                <w:color w:val="000000"/>
                <w:kern w:val="0"/>
                <w:sz w:val="24"/>
                <w:szCs w:val="24"/>
              </w:rPr>
              <w:lastRenderedPageBreak/>
              <w:t>×40%</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lastRenderedPageBreak/>
              <w:t>风险收益特征</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本基金是一只混合型基金，其风险和预期收益高于债券型基金和货币市场基金，低于股票型基金，属于承担较高风险、预期收益较高的证券投资基金品种。</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基金管理人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交银施罗德基金管理有限公司</w:t>
            </w:r>
          </w:p>
        </w:tc>
      </w:tr>
      <w:tr w:rsidR="001B2F35" w:rsidRPr="00414345" w:rsidTr="006E6726">
        <w:trPr>
          <w:jc w:val="center"/>
        </w:trPr>
        <w:tc>
          <w:tcPr>
            <w:tcW w:w="3023" w:type="dxa"/>
            <w:vAlign w:val="center"/>
          </w:tcPr>
          <w:p w:rsidR="001B2F35" w:rsidRPr="00414345" w:rsidRDefault="001B2F35" w:rsidP="00C15CAC">
            <w:pPr>
              <w:adjustRightInd w:val="0"/>
              <w:spacing w:before="29" w:line="288" w:lineRule="auto"/>
              <w:ind w:left="17"/>
              <w:jc w:val="left"/>
              <w:rPr>
                <w:sz w:val="24"/>
                <w:szCs w:val="24"/>
              </w:rPr>
            </w:pPr>
            <w:r w:rsidRPr="00414345">
              <w:rPr>
                <w:kern w:val="0"/>
                <w:sz w:val="24"/>
                <w:szCs w:val="24"/>
              </w:rPr>
              <w:t>基金托管人</w:t>
            </w:r>
          </w:p>
        </w:tc>
        <w:tc>
          <w:tcPr>
            <w:tcW w:w="5845" w:type="dxa"/>
            <w:vAlign w:val="center"/>
          </w:tcPr>
          <w:p w:rsidR="001B2F35" w:rsidRPr="00414345" w:rsidRDefault="001B2F35" w:rsidP="00C15CAC">
            <w:pPr>
              <w:adjustRightInd w:val="0"/>
              <w:spacing w:before="29" w:line="288" w:lineRule="auto"/>
              <w:ind w:left="17"/>
              <w:jc w:val="left"/>
              <w:rPr>
                <w:color w:val="000000"/>
                <w:sz w:val="24"/>
                <w:szCs w:val="24"/>
              </w:rPr>
            </w:pPr>
            <w:r w:rsidRPr="00414345">
              <w:rPr>
                <w:color w:val="000000"/>
                <w:kern w:val="0"/>
                <w:sz w:val="24"/>
                <w:szCs w:val="24"/>
              </w:rPr>
              <w:t>中国农业银行股份有限公司</w:t>
            </w:r>
          </w:p>
        </w:tc>
      </w:tr>
    </w:tbl>
    <w:p w:rsidR="005910BF" w:rsidRPr="00414345" w:rsidRDefault="005910BF" w:rsidP="00C15CAC">
      <w:pPr>
        <w:autoSpaceDE w:val="0"/>
        <w:autoSpaceDN w:val="0"/>
        <w:adjustRightInd w:val="0"/>
        <w:spacing w:before="29" w:line="288" w:lineRule="auto"/>
        <w:jc w:val="left"/>
        <w:rPr>
          <w:color w:val="000000"/>
          <w:kern w:val="0"/>
          <w:sz w:val="24"/>
          <w:szCs w:val="24"/>
        </w:rPr>
      </w:pPr>
    </w:p>
    <w:p w:rsidR="004061AC" w:rsidRPr="00414345" w:rsidRDefault="004061AC" w:rsidP="00092A0A">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§3  </w:t>
      </w:r>
      <w:r w:rsidRPr="00414345">
        <w:rPr>
          <w:color w:val="000000"/>
          <w:kern w:val="0"/>
          <w:sz w:val="24"/>
          <w:szCs w:val="24"/>
        </w:rPr>
        <w:t>主要财务指标和基金净值表现</w:t>
      </w: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3.1 </w:t>
      </w:r>
      <w:r w:rsidRPr="00414345">
        <w:rPr>
          <w:b/>
          <w:bCs/>
          <w:color w:val="000000"/>
          <w:kern w:val="0"/>
          <w:sz w:val="24"/>
          <w:szCs w:val="24"/>
        </w:rPr>
        <w:t>主要财务指标</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单位：人民币元</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7"/>
        <w:gridCol w:w="5261"/>
      </w:tblGrid>
      <w:tr w:rsidR="00092A0A" w:rsidRPr="00414345" w:rsidTr="00092A0A">
        <w:trPr>
          <w:jc w:val="center"/>
        </w:trPr>
        <w:tc>
          <w:tcPr>
            <w:tcW w:w="3402" w:type="dxa"/>
            <w:vAlign w:val="center"/>
          </w:tcPr>
          <w:p w:rsidR="00C21520" w:rsidRPr="00414345" w:rsidRDefault="00C21520" w:rsidP="00C15CAC">
            <w:pPr>
              <w:adjustRightInd w:val="0"/>
              <w:spacing w:before="29" w:line="288" w:lineRule="auto"/>
              <w:ind w:left="17"/>
              <w:jc w:val="center"/>
              <w:rPr>
                <w:kern w:val="0"/>
                <w:sz w:val="24"/>
                <w:szCs w:val="24"/>
              </w:rPr>
            </w:pPr>
            <w:r w:rsidRPr="00414345">
              <w:rPr>
                <w:kern w:val="0"/>
                <w:sz w:val="24"/>
                <w:szCs w:val="24"/>
              </w:rPr>
              <w:t>主要财务指标</w:t>
            </w:r>
          </w:p>
        </w:tc>
        <w:tc>
          <w:tcPr>
            <w:tcW w:w="4962" w:type="dxa"/>
            <w:vAlign w:val="center"/>
          </w:tcPr>
          <w:p w:rsidR="009C60F7"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报告期</w:t>
            </w:r>
          </w:p>
          <w:p w:rsidR="00C21520" w:rsidRPr="00414345" w:rsidRDefault="009C60F7" w:rsidP="00C15CAC">
            <w:pPr>
              <w:adjustRightInd w:val="0"/>
              <w:spacing w:before="29" w:line="288" w:lineRule="auto"/>
              <w:ind w:left="17"/>
              <w:jc w:val="center"/>
              <w:rPr>
                <w:color w:val="000000"/>
                <w:sz w:val="24"/>
                <w:szCs w:val="24"/>
              </w:rPr>
            </w:pPr>
            <w:r w:rsidRPr="00414345">
              <w:rPr>
                <w:color w:val="000000"/>
                <w:sz w:val="24"/>
                <w:szCs w:val="24"/>
              </w:rPr>
              <w:t>(2018</w:t>
            </w:r>
            <w:r w:rsidRPr="00414345">
              <w:rPr>
                <w:color w:val="000000"/>
                <w:sz w:val="24"/>
                <w:szCs w:val="24"/>
              </w:rPr>
              <w:t>年</w:t>
            </w:r>
            <w:r w:rsidRPr="00414345">
              <w:rPr>
                <w:color w:val="000000"/>
                <w:sz w:val="24"/>
                <w:szCs w:val="24"/>
              </w:rPr>
              <w:t>10</w:t>
            </w:r>
            <w:r w:rsidRPr="00414345">
              <w:rPr>
                <w:color w:val="000000"/>
                <w:sz w:val="24"/>
                <w:szCs w:val="24"/>
              </w:rPr>
              <w:t>月</w:t>
            </w:r>
            <w:r w:rsidRPr="00414345">
              <w:rPr>
                <w:color w:val="000000"/>
                <w:sz w:val="24"/>
                <w:szCs w:val="24"/>
              </w:rPr>
              <w:t>1</w:t>
            </w:r>
            <w:r w:rsidRPr="00414345">
              <w:rPr>
                <w:color w:val="000000"/>
                <w:sz w:val="24"/>
                <w:szCs w:val="24"/>
              </w:rPr>
              <w:t>日</w:t>
            </w:r>
            <w:r w:rsidRPr="00414345">
              <w:rPr>
                <w:color w:val="000000"/>
                <w:sz w:val="24"/>
                <w:szCs w:val="24"/>
              </w:rPr>
              <w:t>-2018</w:t>
            </w:r>
            <w:r w:rsidRPr="00414345">
              <w:rPr>
                <w:color w:val="000000"/>
                <w:sz w:val="24"/>
                <w:szCs w:val="24"/>
              </w:rPr>
              <w:t>年</w:t>
            </w:r>
            <w:r w:rsidRPr="00414345">
              <w:rPr>
                <w:color w:val="000000"/>
                <w:sz w:val="24"/>
                <w:szCs w:val="24"/>
              </w:rPr>
              <w:t>12</w:t>
            </w:r>
            <w:r w:rsidRPr="00414345">
              <w:rPr>
                <w:color w:val="000000"/>
                <w:sz w:val="24"/>
                <w:szCs w:val="24"/>
              </w:rPr>
              <w:t>月</w:t>
            </w:r>
            <w:r w:rsidRPr="00414345">
              <w:rPr>
                <w:color w:val="000000"/>
                <w:sz w:val="24"/>
                <w:szCs w:val="24"/>
              </w:rPr>
              <w:t>31</w:t>
            </w:r>
            <w:r w:rsidRPr="00414345">
              <w:rPr>
                <w:color w:val="000000"/>
                <w:sz w:val="24"/>
                <w:szCs w:val="24"/>
              </w:rPr>
              <w:t>日</w:t>
            </w:r>
            <w:r w:rsidRPr="00414345">
              <w:rPr>
                <w:color w:val="000000"/>
                <w:sz w:val="24"/>
                <w:szCs w:val="24"/>
              </w:rPr>
              <w:t>)</w:t>
            </w:r>
          </w:p>
        </w:tc>
      </w:tr>
      <w:tr w:rsidR="00092A0A" w:rsidRPr="00414345" w:rsidTr="00092A0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1.</w:t>
            </w:r>
            <w:r w:rsidRPr="00414345">
              <w:rPr>
                <w:kern w:val="0"/>
                <w:sz w:val="24"/>
                <w:szCs w:val="24"/>
              </w:rPr>
              <w:t>本期已实现收益</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-106,906,710.69</w:t>
            </w:r>
          </w:p>
        </w:tc>
      </w:tr>
      <w:tr w:rsidR="00092A0A" w:rsidRPr="00414345" w:rsidTr="00092A0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2.</w:t>
            </w:r>
            <w:r w:rsidRPr="00414345">
              <w:rPr>
                <w:kern w:val="0"/>
                <w:sz w:val="24"/>
                <w:szCs w:val="24"/>
              </w:rPr>
              <w:t>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-200,993,173.96</w:t>
            </w:r>
          </w:p>
        </w:tc>
      </w:tr>
      <w:tr w:rsidR="00092A0A" w:rsidRPr="00414345" w:rsidTr="00092A0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3.</w:t>
            </w:r>
            <w:r w:rsidRPr="00414345">
              <w:rPr>
                <w:kern w:val="0"/>
                <w:sz w:val="24"/>
                <w:szCs w:val="24"/>
              </w:rPr>
              <w:t>加权平均基金份额本期利润</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-0.1170</w:t>
            </w:r>
          </w:p>
        </w:tc>
      </w:tr>
      <w:tr w:rsidR="00092A0A" w:rsidRPr="00414345" w:rsidTr="00092A0A">
        <w:trPr>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4.</w:t>
            </w:r>
            <w:r w:rsidRPr="00414345">
              <w:rPr>
                <w:kern w:val="0"/>
                <w:sz w:val="24"/>
                <w:szCs w:val="24"/>
              </w:rPr>
              <w:t>期末基金资产净值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1,333,341,807.64</w:t>
            </w:r>
          </w:p>
        </w:tc>
      </w:tr>
      <w:tr w:rsidR="00092A0A" w:rsidRPr="00414345" w:rsidTr="00092A0A">
        <w:trPr>
          <w:trHeight w:val="158"/>
          <w:jc w:val="center"/>
        </w:trPr>
        <w:tc>
          <w:tcPr>
            <w:tcW w:w="3402" w:type="dxa"/>
            <w:vAlign w:val="center"/>
          </w:tcPr>
          <w:p w:rsidR="00C21520" w:rsidRPr="00414345" w:rsidRDefault="00C21520" w:rsidP="00C15CAC">
            <w:pPr>
              <w:adjustRightInd w:val="0"/>
              <w:spacing w:before="29" w:line="288" w:lineRule="auto"/>
              <w:ind w:left="17"/>
              <w:rPr>
                <w:kern w:val="0"/>
                <w:sz w:val="24"/>
                <w:szCs w:val="24"/>
              </w:rPr>
            </w:pPr>
            <w:r w:rsidRPr="00414345">
              <w:rPr>
                <w:kern w:val="0"/>
                <w:sz w:val="24"/>
                <w:szCs w:val="24"/>
              </w:rPr>
              <w:t>5.</w:t>
            </w:r>
            <w:r w:rsidRPr="00414345">
              <w:rPr>
                <w:kern w:val="0"/>
                <w:sz w:val="24"/>
                <w:szCs w:val="24"/>
              </w:rPr>
              <w:t>期末基金份额净值</w:t>
            </w:r>
          </w:p>
        </w:tc>
        <w:tc>
          <w:tcPr>
            <w:tcW w:w="4962" w:type="dxa"/>
            <w:vAlign w:val="center"/>
          </w:tcPr>
          <w:p w:rsidR="00C21520" w:rsidRPr="00414345" w:rsidRDefault="00C21520" w:rsidP="00C15CAC">
            <w:pPr>
              <w:adjustRightInd w:val="0"/>
              <w:spacing w:before="29" w:line="288" w:lineRule="auto"/>
              <w:ind w:left="17"/>
              <w:jc w:val="right"/>
              <w:rPr>
                <w:color w:val="000000"/>
                <w:sz w:val="24"/>
                <w:szCs w:val="24"/>
              </w:rPr>
            </w:pPr>
            <w:r w:rsidRPr="00414345">
              <w:rPr>
                <w:color w:val="000000"/>
                <w:sz w:val="24"/>
                <w:szCs w:val="24"/>
              </w:rPr>
              <w:t>0.7849</w:t>
            </w:r>
          </w:p>
        </w:tc>
      </w:tr>
    </w:tbl>
    <w:p w:rsidR="00A71754" w:rsidRDefault="001F1A20">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、上述基金业绩指标不包括持有人认购或交易基金的各项费用，计入费用后的实际收益水平要低于所列数字；</w:t>
      </w:r>
      <w:r>
        <w:rPr>
          <w:color w:val="000000"/>
          <w:sz w:val="24"/>
          <w:szCs w:val="24"/>
        </w:rPr>
        <w:t xml:space="preserve"> </w:t>
      </w:r>
    </w:p>
    <w:p w:rsidR="004061AC" w:rsidRPr="00414345" w:rsidRDefault="004061AC" w:rsidP="00092A0A">
      <w:pPr>
        <w:autoSpaceDE w:val="0"/>
        <w:autoSpaceDN w:val="0"/>
        <w:adjustRightInd w:val="0"/>
        <w:spacing w:before="29" w:line="288" w:lineRule="auto"/>
        <w:ind w:firstLineChars="200" w:firstLine="480"/>
        <w:jc w:val="left"/>
        <w:rPr>
          <w:color w:val="000000"/>
          <w:sz w:val="24"/>
          <w:szCs w:val="24"/>
        </w:rPr>
      </w:pPr>
      <w:r w:rsidRPr="00414345">
        <w:rPr>
          <w:color w:val="000000"/>
          <w:sz w:val="24"/>
          <w:szCs w:val="24"/>
        </w:rPr>
        <w:t>2</w:t>
      </w:r>
      <w:r w:rsidRPr="00414345">
        <w:rPr>
          <w:color w:val="000000"/>
          <w:sz w:val="24"/>
          <w:szCs w:val="24"/>
        </w:rPr>
        <w:t>、本期已实现收益指基金本期利息收入、投资收益、其他收入（不含公允价值变动收益）扣除相关费用后的余额，本期利润为本期已实现收益加上本期公允价值变动收益。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 </w:t>
      </w:r>
      <w:r w:rsidRPr="00414345">
        <w:rPr>
          <w:b/>
          <w:bCs/>
          <w:color w:val="000000"/>
          <w:kern w:val="0"/>
          <w:sz w:val="24"/>
          <w:szCs w:val="24"/>
        </w:rPr>
        <w:t>基金净值表现</w:t>
      </w:r>
    </w:p>
    <w:p w:rsidR="00CF6572"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3.2.1 </w:t>
      </w:r>
      <w:r w:rsidRPr="00414345">
        <w:rPr>
          <w:b/>
          <w:bCs/>
          <w:color w:val="000000"/>
          <w:kern w:val="0"/>
          <w:sz w:val="24"/>
          <w:szCs w:val="24"/>
        </w:rPr>
        <w:t>本报告期基金份额净值增长率及其与同期业绩比较基准收益率的比较</w:t>
      </w:r>
    </w:p>
    <w:tbl>
      <w:tblPr>
        <w:tblStyle w:val="af7"/>
        <w:tblW w:w="8868" w:type="dxa"/>
        <w:jc w:val="center"/>
        <w:tblLayout w:type="fixed"/>
        <w:tblCellMar>
          <w:top w:w="57" w:type="dxa"/>
          <w:bottom w:w="57" w:type="dxa"/>
        </w:tblCellMar>
        <w:tblLook w:val="04A0" w:firstRow="1" w:lastRow="0" w:firstColumn="1" w:lastColumn="0" w:noHBand="0" w:noVBand="1"/>
      </w:tblPr>
      <w:tblGrid>
        <w:gridCol w:w="1701"/>
        <w:gridCol w:w="1045"/>
        <w:gridCol w:w="1344"/>
        <w:gridCol w:w="1194"/>
        <w:gridCol w:w="1492"/>
        <w:gridCol w:w="1194"/>
        <w:gridCol w:w="898"/>
      </w:tblGrid>
      <w:tr w:rsidR="00EF6FA5" w:rsidRPr="00414345" w:rsidTr="00A324F4">
        <w:trPr>
          <w:jc w:val="center"/>
        </w:trPr>
        <w:tc>
          <w:tcPr>
            <w:tcW w:w="161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阶段</w:t>
            </w:r>
          </w:p>
        </w:tc>
        <w:tc>
          <w:tcPr>
            <w:tcW w:w="992"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w:t>
            </w:r>
            <w:r w:rsidRPr="00414345">
              <w:rPr>
                <w:rFonts w:hAnsi="宋体"/>
                <w:color w:val="000000"/>
                <w:sz w:val="24"/>
                <w:szCs w:val="24"/>
              </w:rPr>
              <w:t>①</w:t>
            </w:r>
          </w:p>
        </w:tc>
        <w:tc>
          <w:tcPr>
            <w:tcW w:w="1276"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净值增长率标准差</w:t>
            </w:r>
            <w:r w:rsidRPr="00414345">
              <w:rPr>
                <w:rFonts w:hAnsi="宋体"/>
                <w:color w:val="000000"/>
                <w:sz w:val="24"/>
                <w:szCs w:val="24"/>
              </w:rPr>
              <w:t>②</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w:t>
            </w:r>
            <w:r w:rsidRPr="00414345">
              <w:rPr>
                <w:rFonts w:hAnsi="宋体"/>
                <w:color w:val="000000"/>
                <w:sz w:val="24"/>
                <w:szCs w:val="24"/>
              </w:rPr>
              <w:t>③</w:t>
            </w:r>
          </w:p>
        </w:tc>
        <w:tc>
          <w:tcPr>
            <w:tcW w:w="1417"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业绩比较基准收益率标准差</w:t>
            </w:r>
            <w:r w:rsidRPr="00414345">
              <w:rPr>
                <w:rFonts w:hAnsi="宋体"/>
                <w:color w:val="000000"/>
                <w:sz w:val="24"/>
                <w:szCs w:val="24"/>
              </w:rPr>
              <w:t>④</w:t>
            </w:r>
          </w:p>
        </w:tc>
        <w:tc>
          <w:tcPr>
            <w:tcW w:w="1134"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①</w:t>
            </w:r>
            <w:r w:rsidRPr="00414345">
              <w:rPr>
                <w:color w:val="000000"/>
                <w:sz w:val="24"/>
                <w:szCs w:val="24"/>
              </w:rPr>
              <w:t>-</w:t>
            </w:r>
            <w:r w:rsidRPr="00414345">
              <w:rPr>
                <w:rFonts w:hAnsi="宋体"/>
                <w:color w:val="000000"/>
                <w:sz w:val="24"/>
                <w:szCs w:val="24"/>
              </w:rPr>
              <w:t>③</w:t>
            </w:r>
          </w:p>
        </w:tc>
        <w:tc>
          <w:tcPr>
            <w:tcW w:w="853" w:type="dxa"/>
            <w:vAlign w:val="center"/>
          </w:tcPr>
          <w:p w:rsidR="00154BE1" w:rsidRPr="00414345" w:rsidRDefault="00154BE1" w:rsidP="00C15CAC">
            <w:pPr>
              <w:autoSpaceDE w:val="0"/>
              <w:autoSpaceDN w:val="0"/>
              <w:adjustRightInd w:val="0"/>
              <w:spacing w:before="29" w:line="288" w:lineRule="auto"/>
              <w:ind w:left="17"/>
              <w:jc w:val="center"/>
              <w:rPr>
                <w:color w:val="000000"/>
                <w:sz w:val="24"/>
                <w:szCs w:val="24"/>
              </w:rPr>
            </w:pPr>
            <w:r w:rsidRPr="00414345">
              <w:rPr>
                <w:rFonts w:hAnsi="宋体"/>
                <w:color w:val="000000"/>
                <w:sz w:val="24"/>
                <w:szCs w:val="24"/>
              </w:rPr>
              <w:t>②</w:t>
            </w:r>
            <w:r w:rsidRPr="00414345">
              <w:rPr>
                <w:color w:val="000000"/>
                <w:sz w:val="24"/>
                <w:szCs w:val="24"/>
              </w:rPr>
              <w:t>-</w:t>
            </w:r>
            <w:r w:rsidRPr="00414345">
              <w:rPr>
                <w:rFonts w:hAnsi="宋体"/>
                <w:color w:val="000000"/>
                <w:sz w:val="24"/>
                <w:szCs w:val="24"/>
              </w:rPr>
              <w:t>④</w:t>
            </w:r>
          </w:p>
        </w:tc>
      </w:tr>
      <w:tr w:rsidR="00A71754">
        <w:trPr>
          <w:jc w:val="center"/>
        </w:trPr>
        <w:tc>
          <w:tcPr>
            <w:tcW w:w="1701" w:type="dxa"/>
            <w:vAlign w:val="center"/>
          </w:tcPr>
          <w:p w:rsidR="00A71754" w:rsidRDefault="001F1A20">
            <w:pPr>
              <w:jc w:val="left"/>
            </w:pPr>
            <w:r>
              <w:rPr>
                <w:color w:val="000000"/>
                <w:sz w:val="24"/>
                <w:szCs w:val="24"/>
              </w:rPr>
              <w:t>过去三个月</w:t>
            </w:r>
          </w:p>
        </w:tc>
        <w:tc>
          <w:tcPr>
            <w:tcW w:w="1045" w:type="dxa"/>
            <w:vAlign w:val="center"/>
          </w:tcPr>
          <w:p w:rsidR="00A71754" w:rsidRDefault="001F1A20">
            <w:pPr>
              <w:jc w:val="center"/>
            </w:pPr>
            <w:r>
              <w:rPr>
                <w:color w:val="000000"/>
                <w:sz w:val="24"/>
                <w:szCs w:val="24"/>
              </w:rPr>
              <w:t>-12.89%</w:t>
            </w:r>
          </w:p>
        </w:tc>
        <w:tc>
          <w:tcPr>
            <w:tcW w:w="1344" w:type="dxa"/>
            <w:vAlign w:val="center"/>
          </w:tcPr>
          <w:p w:rsidR="00A71754" w:rsidRDefault="001F1A20">
            <w:pPr>
              <w:jc w:val="center"/>
            </w:pPr>
            <w:r>
              <w:rPr>
                <w:color w:val="000000"/>
                <w:sz w:val="24"/>
                <w:szCs w:val="24"/>
              </w:rPr>
              <w:t>1.89%</w:t>
            </w:r>
          </w:p>
        </w:tc>
        <w:tc>
          <w:tcPr>
            <w:tcW w:w="1194" w:type="dxa"/>
            <w:vAlign w:val="center"/>
          </w:tcPr>
          <w:p w:rsidR="00A71754" w:rsidRDefault="001F1A20">
            <w:pPr>
              <w:jc w:val="center"/>
            </w:pPr>
            <w:r>
              <w:rPr>
                <w:color w:val="000000"/>
                <w:sz w:val="24"/>
                <w:szCs w:val="24"/>
              </w:rPr>
              <w:t>-6.54%</w:t>
            </w:r>
          </w:p>
        </w:tc>
        <w:tc>
          <w:tcPr>
            <w:tcW w:w="1492" w:type="dxa"/>
            <w:vAlign w:val="center"/>
          </w:tcPr>
          <w:p w:rsidR="00A71754" w:rsidRDefault="001F1A20">
            <w:pPr>
              <w:jc w:val="center"/>
            </w:pPr>
            <w:r>
              <w:rPr>
                <w:color w:val="000000"/>
                <w:sz w:val="24"/>
                <w:szCs w:val="24"/>
              </w:rPr>
              <w:t>0.98%</w:t>
            </w:r>
          </w:p>
        </w:tc>
        <w:tc>
          <w:tcPr>
            <w:tcW w:w="1194" w:type="dxa"/>
            <w:vAlign w:val="center"/>
          </w:tcPr>
          <w:p w:rsidR="00A71754" w:rsidRDefault="001F1A20">
            <w:pPr>
              <w:jc w:val="center"/>
            </w:pPr>
            <w:r>
              <w:rPr>
                <w:color w:val="000000"/>
                <w:sz w:val="24"/>
                <w:szCs w:val="24"/>
              </w:rPr>
              <w:t>-6.35%</w:t>
            </w:r>
          </w:p>
        </w:tc>
        <w:tc>
          <w:tcPr>
            <w:tcW w:w="898" w:type="dxa"/>
            <w:vAlign w:val="center"/>
          </w:tcPr>
          <w:p w:rsidR="00A71754" w:rsidRDefault="001F1A20">
            <w:pPr>
              <w:jc w:val="center"/>
            </w:pPr>
            <w:r>
              <w:rPr>
                <w:color w:val="000000"/>
                <w:sz w:val="24"/>
                <w:szCs w:val="24"/>
              </w:rPr>
              <w:t>0.91%</w:t>
            </w:r>
          </w:p>
        </w:tc>
      </w:tr>
    </w:tbl>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3.2.2</w:t>
      </w:r>
      <w:r w:rsidR="000824E7" w:rsidRPr="00F81917">
        <w:rPr>
          <w:rFonts w:hint="eastAsia"/>
          <w:b/>
          <w:bCs/>
          <w:color w:val="000000"/>
          <w:kern w:val="0"/>
          <w:sz w:val="24"/>
          <w:szCs w:val="24"/>
        </w:rPr>
        <w:t>自基金合同生效以来</w:t>
      </w:r>
      <w:r w:rsidR="00C6002A" w:rsidRPr="00F81917">
        <w:rPr>
          <w:b/>
          <w:bCs/>
          <w:color w:val="000000"/>
          <w:kern w:val="0"/>
          <w:sz w:val="24"/>
          <w:szCs w:val="24"/>
        </w:rPr>
        <w:t>基</w:t>
      </w:r>
      <w:r w:rsidR="00C6002A" w:rsidRPr="00414345">
        <w:rPr>
          <w:b/>
          <w:bCs/>
          <w:color w:val="000000"/>
          <w:sz w:val="24"/>
        </w:rPr>
        <w:t>金份额累计净值增长率变动及其与同期业绩比较基准收益率变动的比较</w:t>
      </w:r>
    </w:p>
    <w:p w:rsidR="008606B6" w:rsidRPr="00414345" w:rsidRDefault="008606B6" w:rsidP="00C15CAC">
      <w:pPr>
        <w:spacing w:before="29" w:line="288" w:lineRule="auto"/>
        <w:jc w:val="center"/>
        <w:rPr>
          <w:color w:val="000000"/>
          <w:sz w:val="24"/>
          <w:szCs w:val="24"/>
        </w:rPr>
      </w:pPr>
      <w:r w:rsidRPr="00414345">
        <w:rPr>
          <w:color w:val="000000"/>
          <w:sz w:val="24"/>
          <w:szCs w:val="24"/>
        </w:rPr>
        <w:t>交银施罗德品质升级混合型证券投资基金</w:t>
      </w:r>
    </w:p>
    <w:p w:rsidR="004061AC" w:rsidRPr="00414345" w:rsidRDefault="00B56F53"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color w:val="000000"/>
          <w:sz w:val="24"/>
          <w:szCs w:val="24"/>
        </w:rPr>
        <w:lastRenderedPageBreak/>
        <w:t>份额累计净值增长率与业绩比较基准收益率历史走势对比图</w:t>
      </w:r>
    </w:p>
    <w:p w:rsidR="00AE7962" w:rsidRPr="00414345" w:rsidRDefault="00DE4B43" w:rsidP="00C15CAC">
      <w:pPr>
        <w:pStyle w:val="a5"/>
        <w:snapToGrid w:val="0"/>
        <w:spacing w:before="29" w:line="288" w:lineRule="auto"/>
        <w:ind w:firstLine="480"/>
        <w:jc w:val="center"/>
        <w:rPr>
          <w:rFonts w:ascii="Times New Roman" w:hAnsi="Times New Roman" w:cs="Times New Roman"/>
          <w:sz w:val="24"/>
          <w:szCs w:val="24"/>
        </w:rPr>
      </w:pPr>
      <w:r w:rsidRPr="00414345">
        <w:rPr>
          <w:rFonts w:ascii="Times New Roman" w:hAnsi="Times New Roman" w:cs="Times New Roman"/>
          <w:color w:val="000000"/>
          <w:sz w:val="24"/>
          <w:szCs w:val="24"/>
        </w:rPr>
        <w:t>（</w:t>
      </w:r>
      <w:r w:rsidR="0042009D" w:rsidRPr="00414345">
        <w:rPr>
          <w:rFonts w:ascii="Times New Roman" w:hAnsi="Times New Roman" w:cs="Times New Roman"/>
          <w:sz w:val="24"/>
          <w:szCs w:val="24"/>
        </w:rPr>
        <w:t>2018</w:t>
      </w:r>
      <w:r w:rsidR="0042009D" w:rsidRPr="00414345">
        <w:rPr>
          <w:rFonts w:ascii="Times New Roman" w:hAnsi="Times New Roman" w:cs="Times New Roman"/>
          <w:sz w:val="24"/>
          <w:szCs w:val="24"/>
        </w:rPr>
        <w:t>年</w:t>
      </w:r>
      <w:r w:rsidR="0042009D" w:rsidRPr="00414345">
        <w:rPr>
          <w:rFonts w:ascii="Times New Roman" w:hAnsi="Times New Roman" w:cs="Times New Roman"/>
          <w:sz w:val="24"/>
          <w:szCs w:val="24"/>
        </w:rPr>
        <w:t>2</w:t>
      </w:r>
      <w:r w:rsidR="0042009D" w:rsidRPr="00414345">
        <w:rPr>
          <w:rFonts w:ascii="Times New Roman" w:hAnsi="Times New Roman" w:cs="Times New Roman"/>
          <w:sz w:val="24"/>
          <w:szCs w:val="24"/>
        </w:rPr>
        <w:t>月</w:t>
      </w:r>
      <w:r w:rsidR="0042009D" w:rsidRPr="00414345">
        <w:rPr>
          <w:rFonts w:ascii="Times New Roman" w:hAnsi="Times New Roman" w:cs="Times New Roman"/>
          <w:sz w:val="24"/>
          <w:szCs w:val="24"/>
        </w:rPr>
        <w:t>8</w:t>
      </w:r>
      <w:r w:rsidR="0042009D" w:rsidRPr="00414345">
        <w:rPr>
          <w:rFonts w:ascii="Times New Roman" w:hAnsi="Times New Roman" w:cs="Times New Roman"/>
          <w:sz w:val="24"/>
          <w:szCs w:val="24"/>
        </w:rPr>
        <w:t>日</w:t>
      </w:r>
      <w:r w:rsidR="00AE7962" w:rsidRPr="00414345">
        <w:rPr>
          <w:rFonts w:ascii="Times New Roman" w:hAnsi="Times New Roman" w:cs="Times New Roman"/>
          <w:sz w:val="24"/>
          <w:szCs w:val="24"/>
        </w:rPr>
        <w:t>至</w:t>
      </w:r>
      <w:r w:rsidR="00AE7962" w:rsidRPr="00414345">
        <w:rPr>
          <w:rFonts w:ascii="Times New Roman" w:hAnsi="Times New Roman" w:cs="Times New Roman"/>
          <w:sz w:val="24"/>
          <w:szCs w:val="24"/>
        </w:rPr>
        <w:t>2018</w:t>
      </w:r>
      <w:r w:rsidR="00AE7962" w:rsidRPr="00414345">
        <w:rPr>
          <w:rFonts w:ascii="Times New Roman" w:hAnsi="Times New Roman" w:cs="Times New Roman"/>
          <w:sz w:val="24"/>
          <w:szCs w:val="24"/>
        </w:rPr>
        <w:t>年</w:t>
      </w:r>
      <w:r w:rsidR="00AE7962" w:rsidRPr="00414345">
        <w:rPr>
          <w:rFonts w:ascii="Times New Roman" w:hAnsi="Times New Roman" w:cs="Times New Roman"/>
          <w:sz w:val="24"/>
          <w:szCs w:val="24"/>
        </w:rPr>
        <w:t>12</w:t>
      </w:r>
      <w:r w:rsidR="00AE7962" w:rsidRPr="00414345">
        <w:rPr>
          <w:rFonts w:ascii="Times New Roman" w:hAnsi="Times New Roman" w:cs="Times New Roman"/>
          <w:sz w:val="24"/>
          <w:szCs w:val="24"/>
        </w:rPr>
        <w:t>月</w:t>
      </w:r>
      <w:r w:rsidR="00AE7962" w:rsidRPr="00414345">
        <w:rPr>
          <w:rFonts w:ascii="Times New Roman" w:hAnsi="Times New Roman" w:cs="Times New Roman"/>
          <w:sz w:val="24"/>
          <w:szCs w:val="24"/>
        </w:rPr>
        <w:t>31</w:t>
      </w:r>
      <w:r w:rsidR="00AE7962" w:rsidRPr="00414345">
        <w:rPr>
          <w:rFonts w:ascii="Times New Roman" w:hAnsi="Times New Roman" w:cs="Times New Roman"/>
          <w:sz w:val="24"/>
          <w:szCs w:val="24"/>
        </w:rPr>
        <w:t>日</w:t>
      </w:r>
      <w:r w:rsidRPr="00414345">
        <w:rPr>
          <w:rFonts w:ascii="Times New Roman" w:hAnsi="Times New Roman" w:cs="Times New Roman"/>
          <w:color w:val="000000"/>
          <w:sz w:val="24"/>
          <w:szCs w:val="24"/>
        </w:rPr>
        <w:t>）</w:t>
      </w:r>
    </w:p>
    <w:p w:rsidR="004061AC" w:rsidRPr="00414345" w:rsidRDefault="00B816A7" w:rsidP="00C15CAC">
      <w:pPr>
        <w:pStyle w:val="a5"/>
        <w:snapToGrid w:val="0"/>
        <w:spacing w:before="29" w:line="288" w:lineRule="auto"/>
        <w:jc w:val="center"/>
        <w:rPr>
          <w:rFonts w:ascii="Times New Roman" w:hAnsi="Times New Roman" w:cs="Times New Roman"/>
          <w:color w:val="000000"/>
          <w:sz w:val="24"/>
          <w:szCs w:val="24"/>
        </w:rPr>
      </w:pPr>
      <w:r w:rsidRPr="00414345">
        <w:rPr>
          <w:rFonts w:ascii="Times New Roman" w:hAnsi="Times New Roman" w:cs="Times New Roman"/>
          <w:noProof/>
          <w:color w:val="000000"/>
          <w:sz w:val="24"/>
          <w:szCs w:val="24"/>
        </w:rPr>
        <w:drawing>
          <wp:inline distT="0" distB="0" distL="0" distR="0">
            <wp:extent cx="5731510" cy="3356610"/>
            <wp:effectExtent l="19050" t="0" r="2540" b="0"/>
            <wp:docPr id="3" name="图片 2" descr="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走势图1.jpg"/>
                    <pic:cNvPicPr/>
                  </pic:nvPicPr>
                  <pic:blipFill>
                    <a:blip r:embed="rId15" cstate="print"/>
                    <a:stretch>
                      <a:fillRect/>
                    </a:stretch>
                  </pic:blipFill>
                  <pic:spPr>
                    <a:xfrm>
                      <a:off x="0" y="0"/>
                      <a:ext cx="5731510" cy="3356610"/>
                    </a:xfrm>
                    <a:prstGeom prst="rect">
                      <a:avLst/>
                    </a:prstGeom>
                  </pic:spPr>
                </pic:pic>
              </a:graphicData>
            </a:graphic>
          </wp:inline>
        </w:drawing>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注：本基金基金合同生效日为</w:t>
      </w:r>
      <w:r w:rsidRPr="00414345">
        <w:rPr>
          <w:color w:val="000000"/>
          <w:sz w:val="24"/>
          <w:szCs w:val="24"/>
        </w:rPr>
        <w:t>2018</w:t>
      </w:r>
      <w:r w:rsidRPr="00414345">
        <w:rPr>
          <w:color w:val="000000"/>
          <w:sz w:val="24"/>
          <w:szCs w:val="24"/>
        </w:rPr>
        <w:t>年</w:t>
      </w:r>
      <w:r w:rsidRPr="00414345">
        <w:rPr>
          <w:color w:val="000000"/>
          <w:sz w:val="24"/>
          <w:szCs w:val="24"/>
        </w:rPr>
        <w:t>2</w:t>
      </w:r>
      <w:r w:rsidRPr="00414345">
        <w:rPr>
          <w:color w:val="000000"/>
          <w:sz w:val="24"/>
          <w:szCs w:val="24"/>
        </w:rPr>
        <w:t>月</w:t>
      </w:r>
      <w:r w:rsidRPr="00414345">
        <w:rPr>
          <w:color w:val="000000"/>
          <w:sz w:val="24"/>
          <w:szCs w:val="24"/>
        </w:rPr>
        <w:t>8</w:t>
      </w:r>
      <w:r w:rsidRPr="00414345">
        <w:rPr>
          <w:color w:val="000000"/>
          <w:sz w:val="24"/>
          <w:szCs w:val="24"/>
        </w:rPr>
        <w:t>日，基金合同生效日至报告期期末，本基金运作时间未满一年。本基金建仓期为自基金合同生效日起的</w:t>
      </w:r>
      <w:r w:rsidRPr="00414345">
        <w:rPr>
          <w:color w:val="000000"/>
          <w:sz w:val="24"/>
          <w:szCs w:val="24"/>
        </w:rPr>
        <w:t>6</w:t>
      </w:r>
      <w:r w:rsidRPr="00414345">
        <w:rPr>
          <w:color w:val="000000"/>
          <w:sz w:val="24"/>
          <w:szCs w:val="24"/>
        </w:rPr>
        <w:t>个月。截至建仓期结束，本基金各项资产配置比例符合基金合同及招募说明书有关投资比例的约定。</w:t>
      </w:r>
    </w:p>
    <w:p w:rsidR="00693843" w:rsidRPr="00414345" w:rsidRDefault="00693843" w:rsidP="00C15CAC">
      <w:pPr>
        <w:tabs>
          <w:tab w:val="left" w:pos="1800"/>
        </w:tabs>
        <w:spacing w:before="29" w:line="288" w:lineRule="auto"/>
        <w:rPr>
          <w:color w:val="000000"/>
          <w:sz w:val="24"/>
          <w:szCs w:val="24"/>
        </w:rPr>
      </w:pPr>
    </w:p>
    <w:p w:rsidR="004061AC" w:rsidRPr="00414345" w:rsidRDefault="004061AC" w:rsidP="00092A0A">
      <w:pPr>
        <w:pStyle w:val="1"/>
        <w:spacing w:beforeLines="100" w:before="312" w:afterLines="100" w:after="312" w:line="288" w:lineRule="auto"/>
        <w:jc w:val="center"/>
        <w:rPr>
          <w:color w:val="000000"/>
          <w:kern w:val="0"/>
          <w:sz w:val="24"/>
          <w:szCs w:val="24"/>
        </w:rPr>
      </w:pPr>
      <w:r w:rsidRPr="00414345">
        <w:rPr>
          <w:color w:val="000000"/>
          <w:kern w:val="0"/>
          <w:sz w:val="24"/>
          <w:szCs w:val="24"/>
        </w:rPr>
        <w:t xml:space="preserve">§4  </w:t>
      </w:r>
      <w:r w:rsidRPr="00414345">
        <w:rPr>
          <w:color w:val="000000"/>
          <w:kern w:val="0"/>
          <w:sz w:val="24"/>
          <w:szCs w:val="24"/>
        </w:rPr>
        <w:t>管理人报告</w:t>
      </w:r>
    </w:p>
    <w:p w:rsidR="00B12B7D"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4.1 </w:t>
      </w:r>
      <w:r w:rsidRPr="00414345">
        <w:rPr>
          <w:b/>
          <w:bCs/>
          <w:color w:val="000000"/>
          <w:kern w:val="0"/>
          <w:sz w:val="24"/>
          <w:szCs w:val="24"/>
        </w:rPr>
        <w:t>基金经理</w:t>
      </w:r>
      <w:r w:rsidR="00333AD0" w:rsidRPr="00414345">
        <w:rPr>
          <w:b/>
          <w:color w:val="000000"/>
          <w:kern w:val="0"/>
          <w:sz w:val="24"/>
        </w:rPr>
        <w:t>（</w:t>
      </w:r>
      <w:r w:rsidRPr="00414345">
        <w:rPr>
          <w:b/>
          <w:bCs/>
          <w:color w:val="000000"/>
          <w:kern w:val="0"/>
          <w:sz w:val="24"/>
          <w:szCs w:val="24"/>
        </w:rPr>
        <w:t>或基金经理小组</w:t>
      </w:r>
      <w:r w:rsidR="00333AD0" w:rsidRPr="00414345">
        <w:rPr>
          <w:b/>
          <w:color w:val="000000"/>
          <w:kern w:val="0"/>
          <w:sz w:val="24"/>
        </w:rPr>
        <w:t>）</w:t>
      </w:r>
      <w:r w:rsidRPr="00414345">
        <w:rPr>
          <w:b/>
          <w:bCs/>
          <w:color w:val="000000"/>
          <w:kern w:val="0"/>
          <w:sz w:val="24"/>
          <w:szCs w:val="24"/>
        </w:rPr>
        <w:t>简介</w:t>
      </w:r>
    </w:p>
    <w:tbl>
      <w:tblPr>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46"/>
        <w:gridCol w:w="845"/>
        <w:gridCol w:w="1549"/>
        <w:gridCol w:w="1548"/>
        <w:gridCol w:w="1407"/>
        <w:gridCol w:w="2673"/>
      </w:tblGrid>
      <w:tr w:rsidR="00286BEF" w:rsidRPr="00414345" w:rsidTr="006A10AB">
        <w:trPr>
          <w:trHeight w:val="292"/>
          <w:jc w:val="center"/>
        </w:trPr>
        <w:tc>
          <w:tcPr>
            <w:tcW w:w="851"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姓名</w:t>
            </w:r>
          </w:p>
        </w:tc>
        <w:tc>
          <w:tcPr>
            <w:tcW w:w="850"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职务</w:t>
            </w:r>
          </w:p>
        </w:tc>
        <w:tc>
          <w:tcPr>
            <w:tcW w:w="3119" w:type="dxa"/>
            <w:gridSpan w:val="2"/>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任本基金的基金经理期限</w:t>
            </w:r>
          </w:p>
        </w:tc>
        <w:tc>
          <w:tcPr>
            <w:tcW w:w="1417" w:type="dxa"/>
            <w:vMerge w:val="restart"/>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证券从业年限</w:t>
            </w:r>
          </w:p>
        </w:tc>
        <w:tc>
          <w:tcPr>
            <w:tcW w:w="2694" w:type="dxa"/>
            <w:vMerge w:val="restart"/>
            <w:vAlign w:val="center"/>
          </w:tcPr>
          <w:p w:rsidR="004061AC" w:rsidRPr="00414345" w:rsidRDefault="004061AC" w:rsidP="00C15CAC">
            <w:pPr>
              <w:widowControl/>
              <w:spacing w:before="29" w:line="288" w:lineRule="auto"/>
              <w:ind w:left="17"/>
              <w:jc w:val="center"/>
              <w:rPr>
                <w:color w:val="000000"/>
                <w:kern w:val="0"/>
                <w:sz w:val="24"/>
                <w:szCs w:val="24"/>
              </w:rPr>
            </w:pPr>
            <w:r w:rsidRPr="00414345">
              <w:rPr>
                <w:color w:val="000000"/>
                <w:kern w:val="0"/>
                <w:sz w:val="24"/>
                <w:szCs w:val="24"/>
              </w:rPr>
              <w:t>说明</w:t>
            </w:r>
          </w:p>
        </w:tc>
      </w:tr>
      <w:tr w:rsidR="00D13737" w:rsidRPr="00414345" w:rsidTr="006A10AB">
        <w:trPr>
          <w:jc w:val="center"/>
        </w:trPr>
        <w:tc>
          <w:tcPr>
            <w:tcW w:w="851"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850"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1560"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任职日期</w:t>
            </w:r>
          </w:p>
        </w:tc>
        <w:tc>
          <w:tcPr>
            <w:tcW w:w="1559" w:type="dxa"/>
            <w:vAlign w:val="center"/>
          </w:tcPr>
          <w:p w:rsidR="004061AC" w:rsidRPr="00414345" w:rsidRDefault="004061AC" w:rsidP="00C15CAC">
            <w:pPr>
              <w:autoSpaceDE w:val="0"/>
              <w:autoSpaceDN w:val="0"/>
              <w:adjustRightInd w:val="0"/>
              <w:spacing w:before="29" w:line="288" w:lineRule="auto"/>
              <w:ind w:left="17"/>
              <w:jc w:val="center"/>
              <w:rPr>
                <w:color w:val="000000"/>
                <w:kern w:val="0"/>
                <w:sz w:val="24"/>
                <w:szCs w:val="24"/>
              </w:rPr>
            </w:pPr>
            <w:r w:rsidRPr="00414345">
              <w:rPr>
                <w:color w:val="000000"/>
                <w:kern w:val="0"/>
                <w:sz w:val="24"/>
                <w:szCs w:val="24"/>
              </w:rPr>
              <w:t>离任日期</w:t>
            </w:r>
          </w:p>
        </w:tc>
        <w:tc>
          <w:tcPr>
            <w:tcW w:w="1417" w:type="dxa"/>
            <w:vMerge/>
            <w:vAlign w:val="center"/>
          </w:tcPr>
          <w:p w:rsidR="004061AC" w:rsidRPr="00414345" w:rsidRDefault="004061AC" w:rsidP="00C15CAC">
            <w:pPr>
              <w:widowControl/>
              <w:spacing w:before="29" w:line="288" w:lineRule="auto"/>
              <w:jc w:val="left"/>
              <w:rPr>
                <w:color w:val="000000"/>
                <w:kern w:val="0"/>
                <w:sz w:val="24"/>
                <w:szCs w:val="24"/>
              </w:rPr>
            </w:pPr>
          </w:p>
        </w:tc>
        <w:tc>
          <w:tcPr>
            <w:tcW w:w="2694" w:type="dxa"/>
            <w:vMerge/>
            <w:vAlign w:val="center"/>
          </w:tcPr>
          <w:p w:rsidR="004061AC" w:rsidRPr="00414345" w:rsidRDefault="004061AC" w:rsidP="00C15CAC">
            <w:pPr>
              <w:widowControl/>
              <w:spacing w:before="29" w:line="288" w:lineRule="auto"/>
              <w:jc w:val="left"/>
              <w:rPr>
                <w:color w:val="000000"/>
                <w:kern w:val="0"/>
                <w:sz w:val="24"/>
                <w:szCs w:val="24"/>
              </w:rPr>
            </w:pPr>
          </w:p>
        </w:tc>
      </w:tr>
      <w:tr w:rsidR="00A71754">
        <w:trPr>
          <w:jc w:val="center"/>
        </w:trPr>
        <w:tc>
          <w:tcPr>
            <w:tcW w:w="846" w:type="dxa"/>
            <w:vAlign w:val="center"/>
          </w:tcPr>
          <w:p w:rsidR="00A71754" w:rsidRDefault="001F1A20">
            <w:pPr>
              <w:jc w:val="center"/>
            </w:pPr>
            <w:r>
              <w:rPr>
                <w:color w:val="000000"/>
                <w:sz w:val="24"/>
                <w:szCs w:val="24"/>
              </w:rPr>
              <w:t>韩威俊</w:t>
            </w:r>
          </w:p>
        </w:tc>
        <w:tc>
          <w:tcPr>
            <w:tcW w:w="845" w:type="dxa"/>
            <w:vAlign w:val="center"/>
          </w:tcPr>
          <w:p w:rsidR="00A71754" w:rsidRDefault="001F1A20">
            <w:pPr>
              <w:jc w:val="center"/>
            </w:pPr>
            <w:r>
              <w:rPr>
                <w:color w:val="000000"/>
                <w:sz w:val="24"/>
                <w:szCs w:val="24"/>
              </w:rPr>
              <w:t>交银趋势混合、交银策略回报灵活配置混合、交银消费新驱</w:t>
            </w:r>
            <w:r>
              <w:rPr>
                <w:color w:val="000000"/>
                <w:sz w:val="24"/>
                <w:szCs w:val="24"/>
              </w:rPr>
              <w:lastRenderedPageBreak/>
              <w:t>动股票、交银股息优化混合、交银品质升级混合的基金经理</w:t>
            </w:r>
          </w:p>
        </w:tc>
        <w:tc>
          <w:tcPr>
            <w:tcW w:w="1549" w:type="dxa"/>
            <w:vAlign w:val="center"/>
          </w:tcPr>
          <w:p w:rsidR="00A71754" w:rsidRDefault="001F1A20">
            <w:pPr>
              <w:jc w:val="center"/>
            </w:pPr>
            <w:r>
              <w:rPr>
                <w:color w:val="000000"/>
                <w:sz w:val="24"/>
                <w:szCs w:val="24"/>
              </w:rPr>
              <w:lastRenderedPageBreak/>
              <w:t>2018-02-08</w:t>
            </w:r>
          </w:p>
        </w:tc>
        <w:tc>
          <w:tcPr>
            <w:tcW w:w="1548" w:type="dxa"/>
            <w:vAlign w:val="center"/>
          </w:tcPr>
          <w:p w:rsidR="00A71754" w:rsidRDefault="001F1A20">
            <w:pPr>
              <w:jc w:val="center"/>
            </w:pPr>
            <w:r>
              <w:rPr>
                <w:color w:val="000000"/>
                <w:sz w:val="24"/>
                <w:szCs w:val="24"/>
              </w:rPr>
              <w:t>-</w:t>
            </w:r>
          </w:p>
        </w:tc>
        <w:tc>
          <w:tcPr>
            <w:tcW w:w="1407" w:type="dxa"/>
            <w:vAlign w:val="center"/>
          </w:tcPr>
          <w:p w:rsidR="00A71754" w:rsidRDefault="001F1A20">
            <w:pPr>
              <w:jc w:val="center"/>
            </w:pPr>
            <w:r>
              <w:rPr>
                <w:color w:val="000000"/>
                <w:sz w:val="24"/>
                <w:szCs w:val="24"/>
              </w:rPr>
              <w:t>12</w:t>
            </w:r>
            <w:r>
              <w:rPr>
                <w:color w:val="000000"/>
                <w:sz w:val="24"/>
                <w:szCs w:val="24"/>
              </w:rPr>
              <w:t>年</w:t>
            </w:r>
          </w:p>
        </w:tc>
        <w:tc>
          <w:tcPr>
            <w:tcW w:w="2673" w:type="dxa"/>
            <w:vAlign w:val="center"/>
          </w:tcPr>
          <w:p w:rsidR="00A71754" w:rsidRDefault="001F1A20">
            <w:r>
              <w:rPr>
                <w:color w:val="000000"/>
                <w:sz w:val="24"/>
                <w:szCs w:val="24"/>
              </w:rPr>
              <w:t>韩威俊先生，上海财经大学金融学硕士。历任申银万国证券研究所助理分析师、北京鼎天资产管理有限公司董事助理、申银万国证券研究所行业分析师、信诚基金管理有限公司投资分析师。</w:t>
            </w:r>
            <w:r>
              <w:rPr>
                <w:color w:val="000000"/>
                <w:sz w:val="24"/>
                <w:szCs w:val="24"/>
              </w:rPr>
              <w:t>2013</w:t>
            </w:r>
            <w:r>
              <w:rPr>
                <w:color w:val="000000"/>
                <w:sz w:val="24"/>
                <w:szCs w:val="24"/>
              </w:rPr>
              <w:t>年加入交银施罗德基金管理有限公司，历任行业分析师。</w:t>
            </w:r>
          </w:p>
        </w:tc>
      </w:tr>
    </w:tbl>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lastRenderedPageBreak/>
        <w:t>注：基金经理（或基金经理小组）期后变动（如有）敬请关注基金管理人发布的相关公告。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4.2 </w:t>
      </w:r>
      <w:r w:rsidRPr="00414345">
        <w:rPr>
          <w:b/>
          <w:bCs/>
          <w:color w:val="000000"/>
          <w:kern w:val="0"/>
          <w:sz w:val="24"/>
          <w:szCs w:val="24"/>
        </w:rPr>
        <w:t>管理人对报告期内本基金运作遵规守信情况的说明</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在报告期内，本基金管理人严格遵循了《中华人民共和国证券投资基金法》、基金合同和其他相关法律法规的规定，并本着诚实信用、勤勉尽责的原则管理和运用基金资产，基金投资管理符合有关法律法规和基金合同的规定，为基金持有人谋求最大利益。</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4.3 </w:t>
      </w:r>
      <w:r w:rsidRPr="00414345">
        <w:rPr>
          <w:b/>
          <w:bCs/>
          <w:color w:val="000000"/>
          <w:kern w:val="0"/>
          <w:sz w:val="24"/>
          <w:szCs w:val="24"/>
        </w:rPr>
        <w:t>公平交易专项说明</w:t>
      </w:r>
    </w:p>
    <w:p w:rsidR="004061AC" w:rsidRPr="00414345" w:rsidRDefault="004061AC" w:rsidP="00C15CAC">
      <w:pPr>
        <w:spacing w:before="29" w:line="288" w:lineRule="auto"/>
        <w:rPr>
          <w:color w:val="000000"/>
          <w:sz w:val="24"/>
          <w:szCs w:val="24"/>
        </w:rPr>
      </w:pPr>
      <w:r w:rsidRPr="00414345">
        <w:rPr>
          <w:color w:val="000000"/>
          <w:sz w:val="24"/>
          <w:szCs w:val="24"/>
        </w:rPr>
        <w:t xml:space="preserve">4.3.1 </w:t>
      </w:r>
      <w:r w:rsidRPr="00414345">
        <w:rPr>
          <w:color w:val="000000"/>
          <w:sz w:val="24"/>
          <w:szCs w:val="24"/>
        </w:rPr>
        <w:t>公平交易制度的执行情况</w:t>
      </w:r>
    </w:p>
    <w:p w:rsidR="00A71754" w:rsidRDefault="001F1A20">
      <w:pPr>
        <w:spacing w:before="29" w:line="288" w:lineRule="auto"/>
        <w:ind w:firstLineChars="200" w:firstLine="480"/>
        <w:rPr>
          <w:color w:val="000000"/>
          <w:sz w:val="24"/>
          <w:szCs w:val="24"/>
        </w:rPr>
      </w:pPr>
      <w:r>
        <w:rPr>
          <w:color w:val="000000"/>
          <w:sz w:val="24"/>
          <w:szCs w:val="24"/>
        </w:rPr>
        <w:t>本公司制定了严格的投资控制制度和公平交易监控制度来保证旗下基金运作的公平，旗下所管理的所有资产组合，包括证券投资基金和特定客户资产管理专户均严格遵循制度进行公平交易。</w:t>
      </w:r>
    </w:p>
    <w:p w:rsidR="00A71754" w:rsidRDefault="001F1A20">
      <w:pPr>
        <w:spacing w:before="29" w:line="288" w:lineRule="auto"/>
        <w:ind w:firstLineChars="200" w:firstLine="480"/>
        <w:rPr>
          <w:color w:val="000000"/>
          <w:sz w:val="24"/>
          <w:szCs w:val="24"/>
        </w:rPr>
      </w:pPr>
      <w:r>
        <w:rPr>
          <w:color w:val="000000"/>
          <w:sz w:val="24"/>
          <w:szCs w:val="24"/>
        </w:rPr>
        <w:t>公司建立资源共享的投资研究信息平台，确保各投资组合在获得投资信息、投资建议和实施投资决策方面享有公平的机会。公司在交易执行环节实行集中交易制度，建立公平的交易分配制度。对于交易所公开竞价交易，遵循</w:t>
      </w:r>
      <w:r>
        <w:rPr>
          <w:color w:val="000000"/>
          <w:sz w:val="24"/>
          <w:szCs w:val="24"/>
        </w:rPr>
        <w:t>“</w:t>
      </w:r>
      <w:r>
        <w:rPr>
          <w:color w:val="000000"/>
          <w:sz w:val="24"/>
          <w:szCs w:val="24"/>
        </w:rPr>
        <w:t>时间优先、价格优先、比例分配</w:t>
      </w:r>
      <w:r>
        <w:rPr>
          <w:color w:val="000000"/>
          <w:sz w:val="24"/>
          <w:szCs w:val="24"/>
        </w:rPr>
        <w:t>”</w:t>
      </w:r>
      <w:r>
        <w:rPr>
          <w:color w:val="000000"/>
          <w:sz w:val="24"/>
          <w:szCs w:val="24"/>
        </w:rPr>
        <w:t>的原则，全部通过交易系统进行比例分配；对于非集中竞价交易、以公司名义进行的场外交易，遵循</w:t>
      </w:r>
      <w:r>
        <w:rPr>
          <w:color w:val="000000"/>
          <w:sz w:val="24"/>
          <w:szCs w:val="24"/>
        </w:rPr>
        <w:t>“</w:t>
      </w:r>
      <w:r>
        <w:rPr>
          <w:color w:val="000000"/>
          <w:sz w:val="24"/>
          <w:szCs w:val="24"/>
        </w:rPr>
        <w:t>价格优先、比例分配</w:t>
      </w:r>
      <w:r>
        <w:rPr>
          <w:color w:val="000000"/>
          <w:sz w:val="24"/>
          <w:szCs w:val="24"/>
        </w:rPr>
        <w:t>”</w:t>
      </w:r>
      <w:r>
        <w:rPr>
          <w:color w:val="000000"/>
          <w:sz w:val="24"/>
          <w:szCs w:val="24"/>
        </w:rPr>
        <w:t>的原则按事前独立确定的投资方案对交易结果进行分配。</w:t>
      </w:r>
    </w:p>
    <w:p w:rsidR="00A71754" w:rsidRDefault="001F1A20">
      <w:pPr>
        <w:spacing w:before="29" w:line="288" w:lineRule="auto"/>
        <w:ind w:firstLineChars="200" w:firstLine="480"/>
        <w:rPr>
          <w:color w:val="000000"/>
          <w:sz w:val="24"/>
          <w:szCs w:val="24"/>
        </w:rPr>
      </w:pPr>
      <w:r>
        <w:rPr>
          <w:color w:val="000000"/>
          <w:sz w:val="24"/>
          <w:szCs w:val="24"/>
        </w:rPr>
        <w:t>公司中央交易室和风险管理部进行日常投资交易行为监控，风险管理部负责对各账户公平交易进行事后分析，于每季度和每年度分别对公司</w:t>
      </w:r>
      <w:r>
        <w:rPr>
          <w:color w:val="000000"/>
          <w:sz w:val="24"/>
          <w:szCs w:val="24"/>
        </w:rPr>
        <w:t>管理的不同投资组合的整体收益率差异、分投资类别的收益率差异以及不同时间窗口同向交易的交易价差进行分析，通过分析评估和信息披露来加强对公平交易过程和结果的监督。</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报告期内本公司严格执行公平交易制度，公平对待旗下各投资组合，未发现任何违反公平交易的行为。</w:t>
      </w:r>
    </w:p>
    <w:p w:rsidR="004061AC" w:rsidRPr="00414345" w:rsidRDefault="004061AC" w:rsidP="00C15CAC">
      <w:pPr>
        <w:spacing w:before="29" w:line="288" w:lineRule="auto"/>
        <w:rPr>
          <w:color w:val="000000"/>
          <w:sz w:val="24"/>
          <w:szCs w:val="24"/>
        </w:rPr>
      </w:pPr>
      <w:r w:rsidRPr="00414345">
        <w:rPr>
          <w:color w:val="000000"/>
          <w:sz w:val="24"/>
          <w:szCs w:val="24"/>
        </w:rPr>
        <w:t xml:space="preserve">4.3.2 </w:t>
      </w:r>
      <w:r w:rsidRPr="00414345">
        <w:rPr>
          <w:color w:val="000000"/>
          <w:sz w:val="24"/>
          <w:szCs w:val="24"/>
        </w:rPr>
        <w:t>异常交易行为的专项说明</w:t>
      </w:r>
    </w:p>
    <w:p w:rsidR="004061AC" w:rsidRPr="00414345" w:rsidRDefault="00957594" w:rsidP="00C15CAC">
      <w:pPr>
        <w:spacing w:before="29" w:line="288" w:lineRule="auto"/>
        <w:ind w:firstLineChars="200" w:firstLine="480"/>
        <w:rPr>
          <w:color w:val="000000"/>
          <w:sz w:val="24"/>
          <w:szCs w:val="24"/>
        </w:rPr>
      </w:pPr>
      <w:r w:rsidRPr="00414345">
        <w:rPr>
          <w:color w:val="000000"/>
          <w:sz w:val="24"/>
          <w:szCs w:val="24"/>
        </w:rPr>
        <w:lastRenderedPageBreak/>
        <w:t>本基金于本报告期内不存在异常交易行为。本报告期内，本公司管理的所有投资组合参与的交易所公开竞价同日反向交易成交较少的单边交易量没有超过该证券当日总成交量</w:t>
      </w:r>
      <w:r w:rsidRPr="00414345">
        <w:rPr>
          <w:color w:val="000000"/>
          <w:sz w:val="24"/>
          <w:szCs w:val="24"/>
        </w:rPr>
        <w:t>5%</w:t>
      </w:r>
      <w:r w:rsidRPr="00414345">
        <w:rPr>
          <w:color w:val="000000"/>
          <w:sz w:val="24"/>
          <w:szCs w:val="24"/>
        </w:rPr>
        <w:t>的情形，本基金与本公司管理的其他投资组合在不同时间窗下（如日内、</w:t>
      </w:r>
      <w:r w:rsidRPr="00414345">
        <w:rPr>
          <w:color w:val="000000"/>
          <w:sz w:val="24"/>
          <w:szCs w:val="24"/>
        </w:rPr>
        <w:t>3</w:t>
      </w:r>
      <w:r w:rsidRPr="00414345">
        <w:rPr>
          <w:color w:val="000000"/>
          <w:sz w:val="24"/>
          <w:szCs w:val="24"/>
        </w:rPr>
        <w:t>日内、</w:t>
      </w:r>
      <w:r w:rsidRPr="00414345">
        <w:rPr>
          <w:color w:val="000000"/>
          <w:sz w:val="24"/>
          <w:szCs w:val="24"/>
        </w:rPr>
        <w:t>5</w:t>
      </w:r>
      <w:r w:rsidRPr="00414345">
        <w:rPr>
          <w:color w:val="000000"/>
          <w:sz w:val="24"/>
          <w:szCs w:val="24"/>
        </w:rPr>
        <w:t>日内）同向交易的交易价差未出现异常。</w:t>
      </w:r>
    </w:p>
    <w:p w:rsidR="004061AC" w:rsidRPr="00414345" w:rsidRDefault="004061AC"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 xml:space="preserve">4.4 </w:t>
      </w:r>
      <w:r w:rsidRPr="00414345">
        <w:rPr>
          <w:rFonts w:hAnsi="宋体"/>
          <w:b/>
          <w:bCs/>
          <w:color w:val="000000"/>
          <w:sz w:val="24"/>
        </w:rPr>
        <w:t>报告期内基金的投资策略和运作分析</w:t>
      </w:r>
    </w:p>
    <w:p w:rsidR="00A71754" w:rsidRDefault="001F1A20">
      <w:pPr>
        <w:spacing w:before="29" w:line="288" w:lineRule="auto"/>
        <w:ind w:firstLineChars="200" w:firstLine="480"/>
        <w:rPr>
          <w:color w:val="000000"/>
          <w:sz w:val="24"/>
          <w:szCs w:val="24"/>
        </w:rPr>
      </w:pPr>
      <w:r>
        <w:rPr>
          <w:color w:val="000000"/>
          <w:sz w:val="24"/>
          <w:szCs w:val="24"/>
        </w:rPr>
        <w:t>进入</w:t>
      </w:r>
      <w:r>
        <w:rPr>
          <w:color w:val="000000"/>
          <w:sz w:val="24"/>
          <w:szCs w:val="24"/>
        </w:rPr>
        <w:t>2018</w:t>
      </w:r>
      <w:r>
        <w:rPr>
          <w:color w:val="000000"/>
          <w:sz w:val="24"/>
          <w:szCs w:val="24"/>
        </w:rPr>
        <w:t>年四季度，贸易战和人民币汇率等海外因素进入白热化阶段，导致海外资金对于国内市场的边际波动影响进一步扩大。国内宏观经济开始出现下降的趋势，虽然从七月出现了货币政策和财政政策的双拐点，但是真正反映到资本市场的流动性向好还需要一定的时滞，整个</w:t>
      </w:r>
      <w:r>
        <w:rPr>
          <w:color w:val="000000"/>
          <w:sz w:val="24"/>
          <w:szCs w:val="24"/>
        </w:rPr>
        <w:t>A</w:t>
      </w:r>
      <w:r>
        <w:rPr>
          <w:color w:val="000000"/>
          <w:sz w:val="24"/>
          <w:szCs w:val="24"/>
        </w:rPr>
        <w:t>股市场的赚钱效应并不是特别明显。</w:t>
      </w:r>
    </w:p>
    <w:p w:rsidR="00A71754" w:rsidRDefault="001F1A20">
      <w:pPr>
        <w:spacing w:before="29" w:line="288" w:lineRule="auto"/>
        <w:ind w:firstLineChars="200" w:firstLine="480"/>
        <w:rPr>
          <w:color w:val="000000"/>
          <w:sz w:val="24"/>
          <w:szCs w:val="24"/>
        </w:rPr>
      </w:pPr>
      <w:r>
        <w:rPr>
          <w:color w:val="000000"/>
          <w:sz w:val="24"/>
          <w:szCs w:val="24"/>
        </w:rPr>
        <w:t>本基金四季度维持在中性仓位，十月在市场大幅回落的时候，适当提高了部分仓位。第一，考虑到十月以后中美汇率敞口可能带来的人民币汇率阶段性升值的机会，适度增加了黄金、基建、航空等配置比例，并在十一月中下旬逐步兑现。目前只留下了部分基建股作为</w:t>
      </w:r>
      <w:r>
        <w:rPr>
          <w:color w:val="000000"/>
          <w:sz w:val="24"/>
          <w:szCs w:val="24"/>
        </w:rPr>
        <w:t>2019</w:t>
      </w:r>
      <w:r>
        <w:rPr>
          <w:color w:val="000000"/>
          <w:sz w:val="24"/>
          <w:szCs w:val="24"/>
        </w:rPr>
        <w:t>年一季度的配置。第二，本基金在</w:t>
      </w:r>
      <w:r>
        <w:rPr>
          <w:color w:val="000000"/>
          <w:sz w:val="24"/>
          <w:szCs w:val="24"/>
        </w:rPr>
        <w:t>2018</w:t>
      </w:r>
      <w:r>
        <w:rPr>
          <w:color w:val="000000"/>
          <w:sz w:val="24"/>
          <w:szCs w:val="24"/>
        </w:rPr>
        <w:t>年三季度末超配的地产板块，在十二月也作了相应的兑现，特别是三四线地产股。地产股投资逻辑相对比较复杂，包括业绩增速、销售增速以及宏观政策的预期，考虑到龙头企业为了后续业绩增长的持续性，可能会对业绩做相应的平滑，预计</w:t>
      </w:r>
      <w:r>
        <w:rPr>
          <w:color w:val="000000"/>
          <w:sz w:val="24"/>
          <w:szCs w:val="24"/>
        </w:rPr>
        <w:t>2019</w:t>
      </w:r>
      <w:r>
        <w:rPr>
          <w:color w:val="000000"/>
          <w:sz w:val="24"/>
          <w:szCs w:val="24"/>
        </w:rPr>
        <w:t>年一季度整体</w:t>
      </w:r>
      <w:r>
        <w:rPr>
          <w:color w:val="000000"/>
          <w:sz w:val="24"/>
          <w:szCs w:val="24"/>
        </w:rPr>
        <w:t>房地产销售面积和新开工面积等中观数据压力会比较大，后续更多的还是要关注</w:t>
      </w:r>
      <w:r>
        <w:rPr>
          <w:color w:val="000000"/>
          <w:sz w:val="24"/>
          <w:szCs w:val="24"/>
        </w:rPr>
        <w:t>2019</w:t>
      </w:r>
      <w:r>
        <w:rPr>
          <w:color w:val="000000"/>
          <w:sz w:val="24"/>
          <w:szCs w:val="24"/>
        </w:rPr>
        <w:t>年三、四月的政策时间窗口以及市场对于地产龙头企业的业绩预期变化。第三，本基金在十二月中下旬增加了消费白马龙头的配置比例，特别是市场预期较低的白马龙头。这些白马龙头虽然预计</w:t>
      </w:r>
      <w:r>
        <w:rPr>
          <w:color w:val="000000"/>
          <w:sz w:val="24"/>
          <w:szCs w:val="24"/>
        </w:rPr>
        <w:t>2019</w:t>
      </w:r>
      <w:r>
        <w:rPr>
          <w:color w:val="000000"/>
          <w:sz w:val="24"/>
          <w:szCs w:val="24"/>
        </w:rPr>
        <w:t>年业绩增速大概率低于</w:t>
      </w:r>
      <w:r>
        <w:rPr>
          <w:color w:val="000000"/>
          <w:sz w:val="24"/>
          <w:szCs w:val="24"/>
        </w:rPr>
        <w:t>2018</w:t>
      </w:r>
      <w:r>
        <w:rPr>
          <w:color w:val="000000"/>
          <w:sz w:val="24"/>
          <w:szCs w:val="24"/>
        </w:rPr>
        <w:t>年，但是在整体宏观经济放缓的背景下已经逐步稀缺。经过中报以及三季报对于消费白马龙头的盈利预测下调，目前整体处于低预期下的低估值。从现金流和未来空间来看，目前的消费白马虽然股价弹性可能不是太大，但是在</w:t>
      </w:r>
      <w:r>
        <w:rPr>
          <w:color w:val="000000"/>
          <w:sz w:val="24"/>
          <w:szCs w:val="24"/>
        </w:rPr>
        <w:t>2019</w:t>
      </w:r>
      <w:r>
        <w:rPr>
          <w:color w:val="000000"/>
          <w:sz w:val="24"/>
          <w:szCs w:val="24"/>
        </w:rPr>
        <w:t>年应该能够获得不错的绝</w:t>
      </w:r>
      <w:r>
        <w:rPr>
          <w:color w:val="000000"/>
          <w:sz w:val="24"/>
          <w:szCs w:val="24"/>
        </w:rPr>
        <w:t>对收益和分红收益率。</w:t>
      </w:r>
    </w:p>
    <w:p w:rsidR="00A71754" w:rsidRDefault="001F1A20">
      <w:pPr>
        <w:spacing w:before="29" w:line="288" w:lineRule="auto"/>
        <w:ind w:firstLineChars="200" w:firstLine="480"/>
        <w:rPr>
          <w:color w:val="000000"/>
          <w:sz w:val="24"/>
          <w:szCs w:val="24"/>
        </w:rPr>
      </w:pPr>
      <w:r>
        <w:rPr>
          <w:color w:val="000000"/>
          <w:sz w:val="24"/>
          <w:szCs w:val="24"/>
        </w:rPr>
        <w:t>展望</w:t>
      </w:r>
      <w:r>
        <w:rPr>
          <w:color w:val="000000"/>
          <w:sz w:val="24"/>
          <w:szCs w:val="24"/>
        </w:rPr>
        <w:t>2019</w:t>
      </w:r>
      <w:r>
        <w:rPr>
          <w:color w:val="000000"/>
          <w:sz w:val="24"/>
          <w:szCs w:val="24"/>
        </w:rPr>
        <w:t>年一季度：首先，中美贸易摩擦预估基本告一段落，美国如果在一季度末放缓加息进度，有望推动人民币汇率往升值方向发展，在标普纳入</w:t>
      </w:r>
      <w:r>
        <w:rPr>
          <w:color w:val="000000"/>
          <w:sz w:val="24"/>
          <w:szCs w:val="24"/>
        </w:rPr>
        <w:t>A</w:t>
      </w:r>
      <w:r>
        <w:rPr>
          <w:color w:val="000000"/>
          <w:sz w:val="24"/>
          <w:szCs w:val="24"/>
        </w:rPr>
        <w:t>股以及</w:t>
      </w:r>
      <w:r>
        <w:rPr>
          <w:color w:val="000000"/>
          <w:sz w:val="24"/>
          <w:szCs w:val="24"/>
        </w:rPr>
        <w:t>2019</w:t>
      </w:r>
      <w:r>
        <w:rPr>
          <w:color w:val="000000"/>
          <w:sz w:val="24"/>
          <w:szCs w:val="24"/>
        </w:rPr>
        <w:t>年年中</w:t>
      </w:r>
      <w:r>
        <w:rPr>
          <w:color w:val="000000"/>
          <w:sz w:val="24"/>
          <w:szCs w:val="24"/>
        </w:rPr>
        <w:t>MSCI</w:t>
      </w:r>
      <w:r>
        <w:rPr>
          <w:color w:val="000000"/>
          <w:sz w:val="24"/>
          <w:szCs w:val="24"/>
        </w:rPr>
        <w:t>比例提高的背景下，以人民币计价的</w:t>
      </w:r>
      <w:r>
        <w:rPr>
          <w:color w:val="000000"/>
          <w:sz w:val="24"/>
          <w:szCs w:val="24"/>
        </w:rPr>
        <w:t>A</w:t>
      </w:r>
      <w:r>
        <w:rPr>
          <w:color w:val="000000"/>
          <w:sz w:val="24"/>
          <w:szCs w:val="24"/>
        </w:rPr>
        <w:t>股在全球市场的吸引力会明显提升。其次，国内宏观增速出现回落已形成普遍预期，除非出现超预期的黑天鹅事件，否则整个市场的风险偏好很难进一步下降。</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本基金在</w:t>
      </w:r>
      <w:r w:rsidRPr="00414345">
        <w:rPr>
          <w:color w:val="000000"/>
          <w:sz w:val="24"/>
          <w:szCs w:val="24"/>
        </w:rPr>
        <w:t>2019</w:t>
      </w:r>
      <w:r w:rsidRPr="00414345">
        <w:rPr>
          <w:color w:val="000000"/>
          <w:sz w:val="24"/>
          <w:szCs w:val="24"/>
        </w:rPr>
        <w:t>年一季度将维持现有仓位和配置思路，从现金流低预期的角度配置消费白马龙头，从人民币汇率升值重估角度配置地产基建或者黄金等。此外，希望通过自下而上的研究方式，从而挖掘到一季度能够业绩明显超预期的消费小黑马，并在一季度末开始做重点研究和配置。</w:t>
      </w:r>
      <w:r w:rsidRPr="00414345">
        <w:rPr>
          <w:color w:val="000000"/>
          <w:sz w:val="24"/>
          <w:szCs w:val="24"/>
        </w:rPr>
        <w:t xml:space="preserve"> </w:t>
      </w:r>
    </w:p>
    <w:p w:rsidR="00627E2D" w:rsidRPr="00414345" w:rsidRDefault="00627E2D" w:rsidP="00C15CAC">
      <w:pPr>
        <w:spacing w:before="29" w:line="288" w:lineRule="auto"/>
        <w:ind w:firstLineChars="200" w:firstLine="480"/>
        <w:rPr>
          <w:color w:val="000000"/>
          <w:sz w:val="24"/>
          <w:szCs w:val="24"/>
        </w:rPr>
      </w:pPr>
    </w:p>
    <w:p w:rsidR="004061AC" w:rsidRPr="00414345" w:rsidRDefault="00D44EE8" w:rsidP="00C15CAC">
      <w:pPr>
        <w:spacing w:before="29" w:line="288" w:lineRule="auto"/>
        <w:rPr>
          <w:sz w:val="24"/>
          <w:szCs w:val="24"/>
        </w:rPr>
      </w:pPr>
      <w:r w:rsidRPr="00414345">
        <w:rPr>
          <w:b/>
          <w:color w:val="000000"/>
          <w:kern w:val="0"/>
          <w:sz w:val="24"/>
        </w:rPr>
        <w:t>4.5</w:t>
      </w:r>
      <w:r w:rsidRPr="00414345">
        <w:rPr>
          <w:b/>
          <w:color w:val="000000"/>
          <w:kern w:val="0"/>
          <w:sz w:val="24"/>
        </w:rPr>
        <w:t>报告期内基金的业绩表现</w:t>
      </w:r>
    </w:p>
    <w:p w:rsidR="004061AC" w:rsidRPr="00414345" w:rsidRDefault="004061AC" w:rsidP="00C15CAC">
      <w:pPr>
        <w:spacing w:before="29" w:line="288" w:lineRule="auto"/>
        <w:ind w:firstLineChars="200" w:firstLine="480"/>
        <w:rPr>
          <w:color w:val="000000"/>
          <w:sz w:val="24"/>
          <w:szCs w:val="24"/>
        </w:rPr>
      </w:pPr>
      <w:r w:rsidRPr="00414345">
        <w:rPr>
          <w:color w:val="000000"/>
          <w:sz w:val="24"/>
          <w:szCs w:val="24"/>
        </w:rPr>
        <w:t>本基金（各类）份额净值及业绩表现请见</w:t>
      </w:r>
      <w:r w:rsidRPr="00414345">
        <w:rPr>
          <w:color w:val="000000"/>
          <w:sz w:val="24"/>
          <w:szCs w:val="24"/>
        </w:rPr>
        <w:t xml:space="preserve">“3.1 </w:t>
      </w:r>
      <w:r w:rsidRPr="00414345">
        <w:rPr>
          <w:color w:val="000000"/>
          <w:sz w:val="24"/>
          <w:szCs w:val="24"/>
        </w:rPr>
        <w:t>主要财务指标</w:t>
      </w:r>
      <w:r w:rsidRPr="00414345">
        <w:rPr>
          <w:color w:val="000000"/>
          <w:sz w:val="24"/>
          <w:szCs w:val="24"/>
        </w:rPr>
        <w:t xml:space="preserve">” </w:t>
      </w:r>
      <w:r w:rsidRPr="00414345">
        <w:rPr>
          <w:color w:val="000000"/>
          <w:sz w:val="24"/>
          <w:szCs w:val="24"/>
        </w:rPr>
        <w:t>及</w:t>
      </w:r>
      <w:r w:rsidRPr="00414345">
        <w:rPr>
          <w:color w:val="000000"/>
          <w:sz w:val="24"/>
          <w:szCs w:val="24"/>
        </w:rPr>
        <w:t>“3.2.1</w:t>
      </w:r>
      <w:r w:rsidRPr="00414345">
        <w:rPr>
          <w:color w:val="000000"/>
          <w:sz w:val="24"/>
          <w:szCs w:val="24"/>
        </w:rPr>
        <w:t>本报告期基</w:t>
      </w:r>
      <w:r w:rsidRPr="00414345">
        <w:rPr>
          <w:color w:val="000000"/>
          <w:sz w:val="24"/>
          <w:szCs w:val="24"/>
        </w:rPr>
        <w:lastRenderedPageBreak/>
        <w:t>金份额净值增长率及其与同期业绩比较基准收益率的比较</w:t>
      </w:r>
      <w:r w:rsidRPr="00414345">
        <w:rPr>
          <w:color w:val="000000"/>
          <w:sz w:val="24"/>
          <w:szCs w:val="24"/>
        </w:rPr>
        <w:t>”</w:t>
      </w:r>
      <w:r w:rsidRPr="00414345">
        <w:rPr>
          <w:color w:val="000000"/>
          <w:sz w:val="24"/>
          <w:szCs w:val="24"/>
        </w:rPr>
        <w:t>部分披露。</w:t>
      </w:r>
    </w:p>
    <w:p w:rsidR="009C5186" w:rsidRPr="00414345" w:rsidRDefault="009C5186" w:rsidP="00C15CAC">
      <w:pPr>
        <w:spacing w:before="29" w:line="288" w:lineRule="auto"/>
        <w:ind w:firstLineChars="200" w:firstLine="480"/>
        <w:rPr>
          <w:color w:val="000000"/>
          <w:sz w:val="24"/>
          <w:szCs w:val="24"/>
        </w:rPr>
      </w:pPr>
    </w:p>
    <w:p w:rsidR="00421CD2" w:rsidRPr="002070B4" w:rsidRDefault="00421CD2" w:rsidP="00421CD2">
      <w:pPr>
        <w:autoSpaceDE w:val="0"/>
        <w:autoSpaceDN w:val="0"/>
        <w:adjustRightInd w:val="0"/>
        <w:spacing w:before="29" w:line="288" w:lineRule="auto"/>
        <w:jc w:val="left"/>
        <w:rPr>
          <w:b/>
          <w:color w:val="000000"/>
          <w:kern w:val="0"/>
          <w:sz w:val="24"/>
        </w:rPr>
      </w:pPr>
      <w:r w:rsidRPr="002070B4">
        <w:rPr>
          <w:b/>
          <w:color w:val="000000"/>
          <w:kern w:val="0"/>
          <w:sz w:val="24"/>
        </w:rPr>
        <w:t>4</w:t>
      </w:r>
      <w:r w:rsidRPr="002070B4">
        <w:rPr>
          <w:rFonts w:hint="eastAsia"/>
          <w:b/>
          <w:color w:val="000000"/>
          <w:kern w:val="0"/>
          <w:sz w:val="24"/>
        </w:rPr>
        <w:t>.6</w:t>
      </w:r>
      <w:r w:rsidRPr="002070B4">
        <w:rPr>
          <w:rFonts w:hint="eastAsia"/>
          <w:b/>
          <w:color w:val="000000"/>
          <w:kern w:val="0"/>
          <w:sz w:val="24"/>
        </w:rPr>
        <w:t>报告期内基金持有人数或基金资产净值预警说明</w:t>
      </w:r>
    </w:p>
    <w:p w:rsidR="00421CD2" w:rsidRDefault="00421CD2" w:rsidP="00421CD2">
      <w:pPr>
        <w:spacing w:before="29" w:line="288" w:lineRule="auto"/>
        <w:ind w:firstLineChars="200" w:firstLine="480"/>
        <w:rPr>
          <w:color w:val="000000"/>
          <w:sz w:val="24"/>
        </w:rPr>
      </w:pPr>
      <w:r w:rsidRPr="002070B4">
        <w:rPr>
          <w:color w:val="000000"/>
          <w:sz w:val="24"/>
        </w:rPr>
        <w:t>本基金本报告期内无需预警说明。</w:t>
      </w:r>
    </w:p>
    <w:p w:rsidR="004061AC" w:rsidRPr="00414345" w:rsidRDefault="004061AC" w:rsidP="00092A0A">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1C0993" w:rsidRPr="00414345">
        <w:rPr>
          <w:color w:val="000000"/>
          <w:kern w:val="0"/>
          <w:sz w:val="24"/>
          <w:szCs w:val="24"/>
        </w:rPr>
        <w:t>5</w:t>
      </w:r>
      <w:r w:rsidR="00834E74">
        <w:rPr>
          <w:color w:val="000000"/>
          <w:kern w:val="0"/>
          <w:sz w:val="24"/>
          <w:szCs w:val="24"/>
        </w:rPr>
        <w:t xml:space="preserve">  </w:t>
      </w:r>
      <w:r w:rsidRPr="00414345">
        <w:rPr>
          <w:color w:val="000000"/>
          <w:kern w:val="0"/>
          <w:sz w:val="24"/>
          <w:szCs w:val="24"/>
        </w:rPr>
        <w:t>投资组合报告</w:t>
      </w:r>
    </w:p>
    <w:p w:rsidR="00BF0019" w:rsidRPr="007B5F21" w:rsidRDefault="00BF0019" w:rsidP="00BF0019">
      <w:pPr>
        <w:autoSpaceDE w:val="0"/>
        <w:autoSpaceDN w:val="0"/>
        <w:adjustRightInd w:val="0"/>
        <w:spacing w:line="360" w:lineRule="auto"/>
        <w:jc w:val="left"/>
        <w:rPr>
          <w:rFonts w:eastAsiaTheme="minorEastAsia"/>
          <w:b/>
          <w:color w:val="000000" w:themeColor="text1"/>
          <w:kern w:val="0"/>
          <w:sz w:val="24"/>
          <w:szCs w:val="24"/>
        </w:rPr>
      </w:pPr>
      <w:r w:rsidRPr="007B5F21">
        <w:rPr>
          <w:rFonts w:eastAsiaTheme="minorEastAsia"/>
          <w:b/>
          <w:color w:val="000000" w:themeColor="text1"/>
          <w:kern w:val="0"/>
          <w:sz w:val="24"/>
          <w:szCs w:val="24"/>
        </w:rPr>
        <w:t xml:space="preserve">5.1 </w:t>
      </w:r>
      <w:r w:rsidRPr="007B5F21">
        <w:rPr>
          <w:rFonts w:eastAsiaTheme="minorEastAsia"/>
          <w:b/>
          <w:color w:val="000000" w:themeColor="text1"/>
          <w:kern w:val="0"/>
          <w:sz w:val="24"/>
          <w:szCs w:val="24"/>
        </w:rPr>
        <w:t>报告期末基金资产组合情况</w:t>
      </w:r>
    </w:p>
    <w:tbl>
      <w:tblPr>
        <w:tblStyle w:val="af7"/>
        <w:tblW w:w="8897" w:type="dxa"/>
        <w:tblInd w:w="108" w:type="dxa"/>
        <w:tblLayout w:type="fixed"/>
        <w:tblLook w:val="04A0" w:firstRow="1" w:lastRow="0" w:firstColumn="1" w:lastColumn="0" w:noHBand="0" w:noVBand="1"/>
      </w:tblPr>
      <w:tblGrid>
        <w:gridCol w:w="720"/>
        <w:gridCol w:w="2824"/>
        <w:gridCol w:w="2552"/>
        <w:gridCol w:w="2801"/>
      </w:tblGrid>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序号</w:t>
            </w:r>
          </w:p>
        </w:tc>
        <w:tc>
          <w:tcPr>
            <w:tcW w:w="2824"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项目</w:t>
            </w:r>
          </w:p>
        </w:tc>
        <w:tc>
          <w:tcPr>
            <w:tcW w:w="2552"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金额</w:t>
            </w:r>
            <w:r w:rsidRPr="007B5F21">
              <w:rPr>
                <w:rFonts w:eastAsiaTheme="minorEastAsia"/>
                <w:color w:val="000000" w:themeColor="text1"/>
                <w:sz w:val="24"/>
                <w:szCs w:val="24"/>
              </w:rPr>
              <w:t>(</w:t>
            </w:r>
            <w:r w:rsidRPr="007B5F21">
              <w:rPr>
                <w:rFonts w:eastAsiaTheme="minorEastAsia"/>
                <w:color w:val="000000" w:themeColor="text1"/>
                <w:sz w:val="24"/>
                <w:szCs w:val="24"/>
              </w:rPr>
              <w:t>元</w:t>
            </w: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占基金总资产的比例</w:t>
            </w: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1</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权益投资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1,201,889,193.24</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88.70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其中：股票</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1,201,889,193.24</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88.70</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2</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ascii="宋体" w:hAnsi="宋体" w:hint="eastAsia"/>
                <w:sz w:val="24"/>
                <w:szCs w:val="24"/>
              </w:rPr>
              <w:t>基金投资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hint="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3</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固定收益投资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其中：债券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7B5F21">
            <w:pPr>
              <w:autoSpaceDE w:val="0"/>
              <w:autoSpaceDN w:val="0"/>
              <w:adjustRightInd w:val="0"/>
              <w:spacing w:before="29" w:line="360" w:lineRule="auto"/>
              <w:ind w:left="17" w:firstLineChars="300" w:firstLine="720"/>
              <w:jc w:val="left"/>
              <w:rPr>
                <w:rFonts w:eastAsiaTheme="minorEastAsia"/>
                <w:color w:val="000000" w:themeColor="text1"/>
                <w:sz w:val="24"/>
                <w:szCs w:val="24"/>
              </w:rPr>
            </w:pPr>
            <w:r w:rsidRPr="007B5F21">
              <w:rPr>
                <w:rFonts w:eastAsiaTheme="minorEastAsia"/>
                <w:color w:val="000000" w:themeColor="text1"/>
                <w:sz w:val="24"/>
                <w:szCs w:val="24"/>
              </w:rPr>
              <w:t>资产支持证券</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4</w:t>
            </w:r>
          </w:p>
        </w:tc>
        <w:tc>
          <w:tcPr>
            <w:tcW w:w="2824" w:type="dxa"/>
            <w:vAlign w:val="center"/>
          </w:tcPr>
          <w:p w:rsidR="00BF0019" w:rsidRPr="007B5F21" w:rsidRDefault="00BF0019" w:rsidP="002D2971">
            <w:pPr>
              <w:spacing w:before="29" w:line="360" w:lineRule="auto"/>
              <w:ind w:leftChars="50" w:left="105"/>
              <w:rPr>
                <w:rFonts w:eastAsiaTheme="minorEastAsia"/>
                <w:color w:val="000000" w:themeColor="text1"/>
                <w:sz w:val="24"/>
                <w:szCs w:val="24"/>
              </w:rPr>
            </w:pPr>
            <w:r w:rsidRPr="007B5F21">
              <w:rPr>
                <w:rFonts w:eastAsiaTheme="minorEastAsia"/>
                <w:color w:val="000000" w:themeColor="text1"/>
                <w:sz w:val="24"/>
                <w:szCs w:val="24"/>
              </w:rPr>
              <w:t>贵金属投资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5</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金融衍生品投资</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6</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其中：买断式回购的买入返售金融资产</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hint="eastAsia"/>
                <w:color w:val="000000" w:themeColor="text1"/>
                <w:sz w:val="24"/>
                <w:szCs w:val="24"/>
              </w:rPr>
              <w:t>7</w:t>
            </w:r>
          </w:p>
        </w:tc>
        <w:tc>
          <w:tcPr>
            <w:tcW w:w="2824" w:type="dxa"/>
            <w:vAlign w:val="center"/>
          </w:tcPr>
          <w:p w:rsidR="00BF0019" w:rsidRPr="007B5F21" w:rsidRDefault="00BF0019" w:rsidP="002D2971">
            <w:pPr>
              <w:spacing w:before="29" w:line="360" w:lineRule="auto"/>
              <w:ind w:left="17"/>
              <w:jc w:val="left"/>
              <w:rPr>
                <w:rFonts w:eastAsiaTheme="minorEastAsia"/>
                <w:color w:val="000000" w:themeColor="text1"/>
                <w:sz w:val="24"/>
                <w:szCs w:val="24"/>
              </w:rPr>
            </w:pPr>
            <w:r w:rsidRPr="007B5F21">
              <w:rPr>
                <w:rFonts w:eastAsiaTheme="minorEastAsia"/>
                <w:color w:val="000000" w:themeColor="text1"/>
                <w:sz w:val="24"/>
                <w:szCs w:val="24"/>
              </w:rPr>
              <w:t>银行存款和结算备付金合计</w:t>
            </w:r>
          </w:p>
        </w:tc>
        <w:tc>
          <w:tcPr>
            <w:tcW w:w="2552"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145,589,786.63</w:t>
            </w:r>
          </w:p>
        </w:tc>
        <w:tc>
          <w:tcPr>
            <w:tcW w:w="2801" w:type="dxa"/>
            <w:vAlign w:val="center"/>
          </w:tcPr>
          <w:p w:rsidR="00BF0019" w:rsidRPr="007B5F21" w:rsidRDefault="00BF0019" w:rsidP="002D2971">
            <w:pPr>
              <w:spacing w:before="29" w:line="360" w:lineRule="auto"/>
              <w:ind w:left="17"/>
              <w:jc w:val="right"/>
              <w:rPr>
                <w:rFonts w:eastAsiaTheme="minorEastAsia"/>
                <w:color w:val="000000" w:themeColor="text1"/>
                <w:sz w:val="24"/>
                <w:szCs w:val="24"/>
              </w:rPr>
            </w:pPr>
            <w:r w:rsidRPr="007B5F21">
              <w:rPr>
                <w:rFonts w:eastAsiaTheme="minorEastAsia"/>
                <w:color w:val="000000" w:themeColor="text1"/>
                <w:sz w:val="24"/>
                <w:szCs w:val="24"/>
              </w:rPr>
              <w:t>10.74</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8</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其他各项资产</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7,521,817.51</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0.56</w:t>
            </w:r>
          </w:p>
        </w:tc>
      </w:tr>
      <w:tr w:rsidR="00BF0019" w:rsidRPr="007B5F21" w:rsidTr="002D2971">
        <w:tc>
          <w:tcPr>
            <w:tcW w:w="720" w:type="dxa"/>
            <w:vAlign w:val="center"/>
          </w:tcPr>
          <w:p w:rsidR="00BF0019" w:rsidRPr="007B5F21" w:rsidRDefault="00BF0019" w:rsidP="002D2971">
            <w:pPr>
              <w:spacing w:before="29" w:line="360" w:lineRule="auto"/>
              <w:ind w:left="17"/>
              <w:jc w:val="center"/>
              <w:rPr>
                <w:rFonts w:eastAsiaTheme="minorEastAsia"/>
                <w:color w:val="000000" w:themeColor="text1"/>
                <w:sz w:val="24"/>
                <w:szCs w:val="24"/>
              </w:rPr>
            </w:pPr>
            <w:r w:rsidRPr="007B5F21">
              <w:rPr>
                <w:rFonts w:eastAsiaTheme="minorEastAsia"/>
                <w:color w:val="000000" w:themeColor="text1"/>
                <w:sz w:val="24"/>
                <w:szCs w:val="24"/>
              </w:rPr>
              <w:t>9</w:t>
            </w:r>
          </w:p>
        </w:tc>
        <w:tc>
          <w:tcPr>
            <w:tcW w:w="2824" w:type="dxa"/>
            <w:vAlign w:val="center"/>
          </w:tcPr>
          <w:p w:rsidR="00BF0019" w:rsidRPr="007B5F21" w:rsidRDefault="00BF0019" w:rsidP="002D2971">
            <w:pPr>
              <w:spacing w:line="360" w:lineRule="auto"/>
              <w:rPr>
                <w:rFonts w:eastAsiaTheme="minorEastAsia"/>
                <w:color w:val="000000" w:themeColor="text1"/>
                <w:sz w:val="24"/>
                <w:szCs w:val="24"/>
              </w:rPr>
            </w:pPr>
            <w:r w:rsidRPr="007B5F21">
              <w:rPr>
                <w:rFonts w:eastAsiaTheme="minorEastAsia"/>
                <w:color w:val="000000" w:themeColor="text1"/>
                <w:sz w:val="24"/>
                <w:szCs w:val="24"/>
              </w:rPr>
              <w:t>合计</w:t>
            </w:r>
          </w:p>
        </w:tc>
        <w:tc>
          <w:tcPr>
            <w:tcW w:w="2552"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1,355,000,797.38</w:t>
            </w:r>
          </w:p>
        </w:tc>
        <w:tc>
          <w:tcPr>
            <w:tcW w:w="2801" w:type="dxa"/>
            <w:vAlign w:val="center"/>
          </w:tcPr>
          <w:p w:rsidR="00BF0019" w:rsidRPr="007B5F21" w:rsidRDefault="00BF0019" w:rsidP="002D2971">
            <w:pPr>
              <w:spacing w:line="360" w:lineRule="auto"/>
              <w:jc w:val="right"/>
              <w:rPr>
                <w:rFonts w:eastAsiaTheme="minorEastAsia"/>
                <w:color w:val="000000" w:themeColor="text1"/>
                <w:sz w:val="24"/>
                <w:szCs w:val="24"/>
              </w:rPr>
            </w:pPr>
            <w:r w:rsidRPr="007B5F21">
              <w:rPr>
                <w:rFonts w:eastAsiaTheme="minorEastAsia"/>
                <w:color w:val="000000" w:themeColor="text1"/>
                <w:sz w:val="24"/>
                <w:szCs w:val="24"/>
              </w:rPr>
              <w:t>100.00</w:t>
            </w:r>
          </w:p>
        </w:tc>
      </w:tr>
    </w:tbl>
    <w:p w:rsidR="004061AC" w:rsidRPr="00414345" w:rsidRDefault="004061AC" w:rsidP="00C15CAC">
      <w:pPr>
        <w:autoSpaceDE w:val="0"/>
        <w:autoSpaceDN w:val="0"/>
        <w:adjustRightInd w:val="0"/>
        <w:spacing w:before="29" w:line="288" w:lineRule="auto"/>
        <w:jc w:val="left"/>
        <w:rPr>
          <w:color w:val="000000"/>
          <w:sz w:val="24"/>
          <w:szCs w:val="24"/>
        </w:rPr>
      </w:pPr>
    </w:p>
    <w:p w:rsidR="004061AC"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5.2 </w:t>
      </w:r>
      <w:r w:rsidRPr="00414345">
        <w:rPr>
          <w:b/>
          <w:bCs/>
          <w:color w:val="000000"/>
          <w:kern w:val="0"/>
          <w:sz w:val="24"/>
          <w:szCs w:val="24"/>
        </w:rPr>
        <w:t>报告期末按行业分类的股票投资组合</w:t>
      </w:r>
    </w:p>
    <w:p w:rsidR="00F51C4E" w:rsidRPr="00F51C4E" w:rsidRDefault="00F51C4E" w:rsidP="00F51C4E">
      <w:pPr>
        <w:rPr>
          <w:b/>
          <w:sz w:val="24"/>
        </w:rPr>
      </w:pPr>
      <w:r w:rsidRPr="004A3846">
        <w:rPr>
          <w:rFonts w:eastAsiaTheme="minorEastAsia" w:hint="eastAsia"/>
          <w:b/>
          <w:color w:val="000000" w:themeColor="text1"/>
          <w:kern w:val="0"/>
          <w:sz w:val="24"/>
        </w:rPr>
        <w:t>5.2.1</w:t>
      </w:r>
      <w:r w:rsidRPr="004A3846">
        <w:rPr>
          <w:rFonts w:eastAsiaTheme="minorEastAsia" w:hint="eastAsia"/>
          <w:b/>
          <w:color w:val="000000" w:themeColor="text1"/>
          <w:kern w:val="0"/>
          <w:sz w:val="24"/>
        </w:rPr>
        <w:t>报告期末按行业分类的境内股票投资组合</w:t>
      </w:r>
    </w:p>
    <w:tbl>
      <w:tblPr>
        <w:tblW w:w="88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 w:type="dxa"/>
          <w:left w:w="0" w:type="dxa"/>
          <w:bottom w:w="-1" w:type="dxa"/>
          <w:right w:w="0" w:type="dxa"/>
        </w:tblCellMar>
        <w:tblLook w:val="0000" w:firstRow="0" w:lastRow="0" w:firstColumn="0" w:lastColumn="0" w:noHBand="0" w:noVBand="0"/>
      </w:tblPr>
      <w:tblGrid>
        <w:gridCol w:w="845"/>
        <w:gridCol w:w="3544"/>
        <w:gridCol w:w="2841"/>
        <w:gridCol w:w="1638"/>
      </w:tblGrid>
      <w:tr w:rsidR="00531F10" w:rsidRPr="00414345" w:rsidTr="006C2C1B">
        <w:trPr>
          <w:trHeight w:val="390"/>
          <w:jc w:val="center"/>
        </w:trPr>
        <w:tc>
          <w:tcPr>
            <w:tcW w:w="84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行业类别</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公允价值（元）</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占基金资产净值比例（％）</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农、林、牧、渔业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utoSpaceDE w:val="0"/>
              <w:autoSpaceDN w:val="0"/>
              <w:adjustRightInd w:val="0"/>
              <w:spacing w:before="29" w:line="288" w:lineRule="auto"/>
              <w:ind w:left="15"/>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lastRenderedPageBreak/>
              <w:t>B</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采矿业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1B4DD6">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制造业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900,456,736.01</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67.53</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电力、热力、燃气及水生产和供应业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建筑业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52,881,092.02</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3.97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批发和零售业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交通运输、仓储和邮政业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sz w:val="24"/>
                <w:szCs w:val="24"/>
              </w:rPr>
            </w:pPr>
            <w:r w:rsidRPr="00414345">
              <w:rPr>
                <w:sz w:val="24"/>
                <w:szCs w:val="24"/>
              </w:rPr>
              <w:t>住宿和餐饮业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DC28F1">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sz w:val="24"/>
                <w:szCs w:val="24"/>
              </w:rPr>
            </w:pPr>
            <w:r w:rsidRPr="00414345">
              <w:rPr>
                <w:sz w:val="24"/>
                <w:szCs w:val="24"/>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DC28F1">
            <w:pPr>
              <w:adjustRightInd w:val="0"/>
              <w:snapToGrid w:val="0"/>
              <w:spacing w:before="29" w:line="288" w:lineRule="auto"/>
              <w:rPr>
                <w:sz w:val="24"/>
                <w:szCs w:val="24"/>
              </w:rPr>
            </w:pPr>
            <w:r w:rsidRPr="00414345">
              <w:rPr>
                <w:sz w:val="24"/>
                <w:szCs w:val="24"/>
              </w:rPr>
              <w:t>信息传输、软件和信息技术服务业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金融业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50,145.80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0.00</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房地产业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234,282,196.68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17.57</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租赁和商务服务业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1,143,446.60</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0.09</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科学研究和技术服务业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12,572,470.05</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0.94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水利、环境和公共设施管理业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503,106.08</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0.04</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居民服务、修理和其他服务业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教育</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卫生和社会工作</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文化、体育和娱乐业</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r w:rsidRPr="00414345">
              <w:rPr>
                <w:color w:val="000000"/>
                <w:sz w:val="24"/>
                <w:szCs w:val="24"/>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综合</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w:t>
            </w:r>
          </w:p>
        </w:tc>
      </w:tr>
      <w:tr w:rsidR="00531F10" w:rsidRPr="00414345" w:rsidTr="006C2C1B">
        <w:trPr>
          <w:trHeight w:val="285"/>
          <w:jc w:val="center"/>
        </w:trPr>
        <w:tc>
          <w:tcPr>
            <w:tcW w:w="845"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center"/>
              <w:rPr>
                <w:color w:val="000000"/>
                <w:sz w:val="24"/>
                <w:szCs w:val="24"/>
              </w:rPr>
            </w:pPr>
          </w:p>
        </w:tc>
        <w:tc>
          <w:tcPr>
            <w:tcW w:w="3544" w:type="dxa"/>
            <w:tcBorders>
              <w:top w:val="single" w:sz="4" w:space="0" w:color="000000"/>
              <w:left w:val="single" w:sz="4" w:space="0" w:color="000000"/>
              <w:bottom w:val="single" w:sz="4" w:space="0" w:color="000000"/>
              <w:right w:val="single" w:sz="4" w:space="0" w:color="auto"/>
            </w:tcBorders>
            <w:tcMar>
              <w:top w:w="15" w:type="dxa"/>
              <w:left w:w="108" w:type="dxa"/>
              <w:bottom w:w="0" w:type="dxa"/>
              <w:right w:w="108" w:type="dxa"/>
            </w:tcMar>
            <w:vAlign w:val="center"/>
          </w:tcPr>
          <w:p w:rsidR="00531F10" w:rsidRPr="00414345" w:rsidRDefault="00531F10" w:rsidP="00C15CAC">
            <w:pPr>
              <w:adjustRightInd w:val="0"/>
              <w:snapToGrid w:val="0"/>
              <w:spacing w:before="29" w:line="288" w:lineRule="auto"/>
              <w:jc w:val="left"/>
              <w:rPr>
                <w:color w:val="000000"/>
                <w:sz w:val="24"/>
                <w:szCs w:val="24"/>
              </w:rPr>
            </w:pPr>
            <w:r w:rsidRPr="00414345">
              <w:rPr>
                <w:color w:val="000000"/>
                <w:sz w:val="24"/>
                <w:szCs w:val="24"/>
              </w:rPr>
              <w:t>合计</w:t>
            </w:r>
          </w:p>
        </w:tc>
        <w:tc>
          <w:tcPr>
            <w:tcW w:w="2841" w:type="dxa"/>
            <w:tcBorders>
              <w:top w:val="single" w:sz="4" w:space="0" w:color="000000"/>
              <w:left w:val="single" w:sz="4" w:space="0" w:color="auto"/>
              <w:bottom w:val="single" w:sz="4" w:space="0" w:color="000000"/>
              <w:right w:val="single" w:sz="4" w:space="0" w:color="000000"/>
            </w:tcBorders>
            <w:tcMar>
              <w:left w:w="108"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1,201,889,193.24</w:t>
            </w:r>
          </w:p>
        </w:tc>
        <w:tc>
          <w:tcPr>
            <w:tcW w:w="1638" w:type="dxa"/>
            <w:tcBorders>
              <w:top w:val="single" w:sz="4" w:space="0" w:color="000000"/>
              <w:left w:val="single" w:sz="4" w:space="0" w:color="000000"/>
              <w:bottom w:val="single" w:sz="4" w:space="0" w:color="000000"/>
              <w:right w:val="single" w:sz="4" w:space="0" w:color="000000"/>
            </w:tcBorders>
            <w:tcMar>
              <w:top w:w="15" w:type="dxa"/>
              <w:left w:w="108" w:type="dxa"/>
              <w:bottom w:w="0" w:type="dxa"/>
              <w:right w:w="108" w:type="dxa"/>
            </w:tcMar>
            <w:vAlign w:val="center"/>
          </w:tcPr>
          <w:p w:rsidR="00531F10" w:rsidRPr="00414345" w:rsidRDefault="00531F10" w:rsidP="00C15CAC">
            <w:pPr>
              <w:spacing w:before="29" w:line="288" w:lineRule="auto"/>
              <w:jc w:val="right"/>
              <w:rPr>
                <w:sz w:val="24"/>
                <w:szCs w:val="24"/>
              </w:rPr>
            </w:pPr>
            <w:r w:rsidRPr="00414345">
              <w:rPr>
                <w:sz w:val="24"/>
                <w:szCs w:val="24"/>
              </w:rPr>
              <w:t>90.14</w:t>
            </w:r>
          </w:p>
        </w:tc>
      </w:tr>
    </w:tbl>
    <w:p w:rsidR="00092A0A" w:rsidRDefault="00092A0A" w:rsidP="00F51C4E">
      <w:pPr>
        <w:jc w:val="left"/>
        <w:rPr>
          <w:rFonts w:asciiTheme="minorEastAsia" w:eastAsiaTheme="minorEastAsia" w:hAnsiTheme="minorEastAsia" w:hint="eastAsia"/>
          <w:b/>
          <w:bCs/>
          <w:color w:val="000000" w:themeColor="text1"/>
          <w:kern w:val="0"/>
          <w:sz w:val="24"/>
        </w:rPr>
      </w:pPr>
    </w:p>
    <w:p w:rsidR="00F51C4E" w:rsidRPr="008A409E" w:rsidRDefault="00F51C4E" w:rsidP="00F51C4E">
      <w:pPr>
        <w:jc w:val="left"/>
        <w:rPr>
          <w:rFonts w:asciiTheme="minorEastAsia" w:eastAsiaTheme="minorEastAsia" w:hAnsiTheme="minorEastAsia"/>
          <w:b/>
          <w:bCs/>
          <w:color w:val="000000" w:themeColor="text1"/>
          <w:kern w:val="0"/>
          <w:sz w:val="24"/>
        </w:rPr>
      </w:pPr>
      <w:r w:rsidRPr="008A409E">
        <w:rPr>
          <w:rFonts w:asciiTheme="minorEastAsia" w:eastAsiaTheme="minorEastAsia" w:hAnsiTheme="minorEastAsia" w:hint="eastAsia"/>
          <w:b/>
          <w:bCs/>
          <w:color w:val="000000" w:themeColor="text1"/>
          <w:kern w:val="0"/>
          <w:sz w:val="24"/>
        </w:rPr>
        <w:t>5.2.2报告期末按行业分类的</w:t>
      </w:r>
      <w:r w:rsidR="00EE49FE">
        <w:rPr>
          <w:rFonts w:asciiTheme="minorEastAsia" w:eastAsiaTheme="minorEastAsia" w:hAnsiTheme="minorEastAsia" w:hint="eastAsia"/>
          <w:b/>
          <w:bCs/>
          <w:color w:val="000000" w:themeColor="text1"/>
          <w:kern w:val="0"/>
          <w:sz w:val="24"/>
        </w:rPr>
        <w:t>港股通</w:t>
      </w:r>
      <w:r w:rsidRPr="008A409E">
        <w:rPr>
          <w:rFonts w:asciiTheme="minorEastAsia" w:eastAsiaTheme="minorEastAsia" w:hAnsiTheme="minorEastAsia" w:hint="eastAsia"/>
          <w:b/>
          <w:bCs/>
          <w:color w:val="000000" w:themeColor="text1"/>
          <w:kern w:val="0"/>
          <w:sz w:val="24"/>
        </w:rPr>
        <w:t>投资股票投资组合</w:t>
      </w:r>
    </w:p>
    <w:p w:rsidR="00F51C4E" w:rsidRDefault="00F51C4E" w:rsidP="00F51C4E">
      <w:pPr>
        <w:spacing w:before="29" w:line="360" w:lineRule="auto"/>
        <w:ind w:left="17"/>
        <w:rPr>
          <w:color w:val="000000"/>
          <w:sz w:val="24"/>
        </w:rPr>
      </w:pPr>
      <w:r w:rsidRPr="00FF0BBF">
        <w:rPr>
          <w:color w:val="000000"/>
          <w:sz w:val="24"/>
        </w:rPr>
        <w:t>本基金本报告期末未持有通过港股通投资的股票。</w:t>
      </w:r>
    </w:p>
    <w:p w:rsidR="004061AC" w:rsidRPr="00F51C4E"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5.3 </w:t>
      </w:r>
      <w:r w:rsidRPr="00414345">
        <w:rPr>
          <w:b/>
          <w:bCs/>
          <w:color w:val="000000"/>
          <w:kern w:val="0"/>
          <w:sz w:val="24"/>
          <w:szCs w:val="24"/>
        </w:rPr>
        <w:t>报告期末按公允价值占基金资产净值比例大小排序的前十名股票投资明细</w:t>
      </w:r>
    </w:p>
    <w:tbl>
      <w:tblPr>
        <w:tblStyle w:val="af7"/>
        <w:tblW w:w="8868" w:type="dxa"/>
        <w:jc w:val="center"/>
        <w:tblLayout w:type="fixed"/>
        <w:tblCellMar>
          <w:top w:w="57" w:type="dxa"/>
          <w:bottom w:w="57" w:type="dxa"/>
        </w:tblCellMar>
        <w:tblLook w:val="04A0" w:firstRow="1" w:lastRow="0" w:firstColumn="1" w:lastColumn="0" w:noHBand="0" w:noVBand="1"/>
      </w:tblPr>
      <w:tblGrid>
        <w:gridCol w:w="855"/>
        <w:gridCol w:w="1334"/>
        <w:gridCol w:w="1777"/>
        <w:gridCol w:w="1334"/>
        <w:gridCol w:w="1924"/>
        <w:gridCol w:w="1644"/>
      </w:tblGrid>
      <w:tr w:rsidR="00AC592E" w:rsidRPr="00414345" w:rsidTr="00A324F4">
        <w:trPr>
          <w:jc w:val="center"/>
        </w:trPr>
        <w:tc>
          <w:tcPr>
            <w:tcW w:w="869"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序号</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股票代码</w:t>
            </w:r>
          </w:p>
        </w:tc>
        <w:tc>
          <w:tcPr>
            <w:tcW w:w="1810"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股票名称</w:t>
            </w:r>
          </w:p>
        </w:tc>
        <w:tc>
          <w:tcPr>
            <w:tcW w:w="1357"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数量</w:t>
            </w:r>
            <w:r w:rsidR="00B47982" w:rsidRPr="00414345">
              <w:rPr>
                <w:color w:val="000000"/>
                <w:sz w:val="24"/>
              </w:rPr>
              <w:t>（股）</w:t>
            </w:r>
          </w:p>
        </w:tc>
        <w:tc>
          <w:tcPr>
            <w:tcW w:w="1960" w:type="dxa"/>
            <w:vAlign w:val="center"/>
          </w:tcPr>
          <w:p w:rsidR="00853140" w:rsidRPr="00414345" w:rsidRDefault="00853140"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公允价值</w:t>
            </w:r>
            <w:r w:rsidRPr="00414345">
              <w:rPr>
                <w:color w:val="000000"/>
                <w:sz w:val="24"/>
                <w:szCs w:val="24"/>
              </w:rPr>
              <w:t>(</w:t>
            </w:r>
            <w:r w:rsidRPr="00414345">
              <w:rPr>
                <w:color w:val="000000"/>
                <w:sz w:val="24"/>
                <w:szCs w:val="24"/>
              </w:rPr>
              <w:t>元</w:t>
            </w:r>
            <w:r w:rsidRPr="00414345">
              <w:rPr>
                <w:color w:val="000000"/>
                <w:sz w:val="24"/>
                <w:szCs w:val="24"/>
              </w:rPr>
              <w:t>)</w:t>
            </w:r>
          </w:p>
        </w:tc>
        <w:tc>
          <w:tcPr>
            <w:tcW w:w="1674" w:type="dxa"/>
            <w:vAlign w:val="center"/>
          </w:tcPr>
          <w:p w:rsidR="00853140" w:rsidRPr="00414345" w:rsidRDefault="00853140" w:rsidP="00C15CAC">
            <w:pPr>
              <w:spacing w:before="29" w:line="288" w:lineRule="auto"/>
              <w:ind w:left="17"/>
              <w:jc w:val="center"/>
              <w:rPr>
                <w:color w:val="000000"/>
                <w:sz w:val="24"/>
                <w:szCs w:val="24"/>
              </w:rPr>
            </w:pPr>
            <w:r w:rsidRPr="00414345">
              <w:rPr>
                <w:color w:val="000000"/>
                <w:sz w:val="24"/>
                <w:szCs w:val="24"/>
              </w:rPr>
              <w:t>占基金资产净值比例</w:t>
            </w:r>
            <w:r w:rsidR="00B47982" w:rsidRPr="00414345">
              <w:rPr>
                <w:color w:val="000000"/>
                <w:sz w:val="24"/>
              </w:rPr>
              <w:t>（％）</w:t>
            </w:r>
          </w:p>
        </w:tc>
      </w:tr>
      <w:tr w:rsidR="00A71754">
        <w:trPr>
          <w:jc w:val="center"/>
        </w:trPr>
        <w:tc>
          <w:tcPr>
            <w:tcW w:w="855" w:type="dxa"/>
            <w:vAlign w:val="center"/>
          </w:tcPr>
          <w:p w:rsidR="00A71754" w:rsidRDefault="001F1A20">
            <w:pPr>
              <w:jc w:val="center"/>
            </w:pPr>
            <w:r>
              <w:rPr>
                <w:color w:val="000000"/>
                <w:sz w:val="24"/>
                <w:szCs w:val="24"/>
              </w:rPr>
              <w:t>1</w:t>
            </w:r>
          </w:p>
        </w:tc>
        <w:tc>
          <w:tcPr>
            <w:tcW w:w="1334" w:type="dxa"/>
            <w:vAlign w:val="center"/>
          </w:tcPr>
          <w:p w:rsidR="00A71754" w:rsidRDefault="001F1A20">
            <w:pPr>
              <w:jc w:val="center"/>
            </w:pPr>
            <w:r>
              <w:rPr>
                <w:color w:val="000000"/>
                <w:sz w:val="24"/>
                <w:szCs w:val="24"/>
              </w:rPr>
              <w:t>600519</w:t>
            </w:r>
          </w:p>
        </w:tc>
        <w:tc>
          <w:tcPr>
            <w:tcW w:w="1777" w:type="dxa"/>
            <w:vAlign w:val="center"/>
          </w:tcPr>
          <w:p w:rsidR="00A71754" w:rsidRDefault="001F1A20">
            <w:pPr>
              <w:jc w:val="center"/>
            </w:pPr>
            <w:r>
              <w:rPr>
                <w:color w:val="000000"/>
                <w:sz w:val="24"/>
                <w:szCs w:val="24"/>
              </w:rPr>
              <w:t>贵州茅台</w:t>
            </w:r>
          </w:p>
        </w:tc>
        <w:tc>
          <w:tcPr>
            <w:tcW w:w="1334" w:type="dxa"/>
            <w:vAlign w:val="center"/>
          </w:tcPr>
          <w:p w:rsidR="00A71754" w:rsidRDefault="001F1A20">
            <w:pPr>
              <w:jc w:val="right"/>
            </w:pPr>
            <w:r>
              <w:rPr>
                <w:color w:val="000000"/>
                <w:sz w:val="24"/>
                <w:szCs w:val="24"/>
              </w:rPr>
              <w:t>213,265</w:t>
            </w:r>
          </w:p>
        </w:tc>
        <w:tc>
          <w:tcPr>
            <w:tcW w:w="1924" w:type="dxa"/>
            <w:vAlign w:val="center"/>
          </w:tcPr>
          <w:p w:rsidR="00A71754" w:rsidRDefault="001F1A20">
            <w:pPr>
              <w:jc w:val="right"/>
            </w:pPr>
            <w:r>
              <w:rPr>
                <w:color w:val="000000"/>
                <w:sz w:val="24"/>
                <w:szCs w:val="24"/>
              </w:rPr>
              <w:t>125,828,482.65</w:t>
            </w:r>
          </w:p>
        </w:tc>
        <w:tc>
          <w:tcPr>
            <w:tcW w:w="1644" w:type="dxa"/>
            <w:vAlign w:val="center"/>
          </w:tcPr>
          <w:p w:rsidR="00A71754" w:rsidRDefault="001F1A20">
            <w:pPr>
              <w:jc w:val="right"/>
            </w:pPr>
            <w:r>
              <w:rPr>
                <w:color w:val="000000"/>
                <w:sz w:val="24"/>
                <w:szCs w:val="24"/>
              </w:rPr>
              <w:t>9.44</w:t>
            </w:r>
          </w:p>
        </w:tc>
      </w:tr>
      <w:tr w:rsidR="00A71754">
        <w:trPr>
          <w:jc w:val="center"/>
        </w:trPr>
        <w:tc>
          <w:tcPr>
            <w:tcW w:w="855" w:type="dxa"/>
            <w:vAlign w:val="center"/>
          </w:tcPr>
          <w:p w:rsidR="00A71754" w:rsidRDefault="001F1A20">
            <w:pPr>
              <w:jc w:val="center"/>
            </w:pPr>
            <w:r>
              <w:rPr>
                <w:color w:val="000000"/>
                <w:sz w:val="24"/>
                <w:szCs w:val="24"/>
              </w:rPr>
              <w:t>2</w:t>
            </w:r>
          </w:p>
        </w:tc>
        <w:tc>
          <w:tcPr>
            <w:tcW w:w="1334" w:type="dxa"/>
            <w:vAlign w:val="center"/>
          </w:tcPr>
          <w:p w:rsidR="00A71754" w:rsidRDefault="001F1A20">
            <w:pPr>
              <w:jc w:val="center"/>
            </w:pPr>
            <w:r>
              <w:rPr>
                <w:color w:val="000000"/>
                <w:sz w:val="24"/>
                <w:szCs w:val="24"/>
              </w:rPr>
              <w:t>300146</w:t>
            </w:r>
          </w:p>
        </w:tc>
        <w:tc>
          <w:tcPr>
            <w:tcW w:w="1777" w:type="dxa"/>
            <w:vAlign w:val="center"/>
          </w:tcPr>
          <w:p w:rsidR="00A71754" w:rsidRDefault="001F1A20">
            <w:pPr>
              <w:jc w:val="center"/>
            </w:pPr>
            <w:r>
              <w:rPr>
                <w:color w:val="000000"/>
                <w:sz w:val="24"/>
                <w:szCs w:val="24"/>
              </w:rPr>
              <w:t>汤臣倍健</w:t>
            </w:r>
          </w:p>
        </w:tc>
        <w:tc>
          <w:tcPr>
            <w:tcW w:w="1334" w:type="dxa"/>
            <w:vAlign w:val="center"/>
          </w:tcPr>
          <w:p w:rsidR="00A71754" w:rsidRDefault="001F1A20">
            <w:pPr>
              <w:jc w:val="right"/>
            </w:pPr>
            <w:r>
              <w:rPr>
                <w:color w:val="000000"/>
                <w:sz w:val="24"/>
                <w:szCs w:val="24"/>
              </w:rPr>
              <w:t>7,306,233</w:t>
            </w:r>
          </w:p>
        </w:tc>
        <w:tc>
          <w:tcPr>
            <w:tcW w:w="1924" w:type="dxa"/>
            <w:vAlign w:val="center"/>
          </w:tcPr>
          <w:p w:rsidR="00A71754" w:rsidRDefault="001F1A20">
            <w:pPr>
              <w:jc w:val="right"/>
            </w:pPr>
            <w:r>
              <w:rPr>
                <w:color w:val="000000"/>
                <w:sz w:val="24"/>
                <w:szCs w:val="24"/>
              </w:rPr>
              <w:t>124,132,898.67</w:t>
            </w:r>
          </w:p>
        </w:tc>
        <w:tc>
          <w:tcPr>
            <w:tcW w:w="1644" w:type="dxa"/>
            <w:vAlign w:val="center"/>
          </w:tcPr>
          <w:p w:rsidR="00A71754" w:rsidRDefault="001F1A20">
            <w:pPr>
              <w:jc w:val="right"/>
            </w:pPr>
            <w:r>
              <w:rPr>
                <w:color w:val="000000"/>
                <w:sz w:val="24"/>
                <w:szCs w:val="24"/>
              </w:rPr>
              <w:t>9.31</w:t>
            </w:r>
          </w:p>
        </w:tc>
      </w:tr>
      <w:tr w:rsidR="00A71754">
        <w:trPr>
          <w:jc w:val="center"/>
        </w:trPr>
        <w:tc>
          <w:tcPr>
            <w:tcW w:w="855" w:type="dxa"/>
            <w:vAlign w:val="center"/>
          </w:tcPr>
          <w:p w:rsidR="00A71754" w:rsidRDefault="001F1A20">
            <w:pPr>
              <w:jc w:val="center"/>
            </w:pPr>
            <w:r>
              <w:rPr>
                <w:color w:val="000000"/>
                <w:sz w:val="24"/>
                <w:szCs w:val="24"/>
              </w:rPr>
              <w:t>3</w:t>
            </w:r>
          </w:p>
        </w:tc>
        <w:tc>
          <w:tcPr>
            <w:tcW w:w="1334" w:type="dxa"/>
            <w:vAlign w:val="center"/>
          </w:tcPr>
          <w:p w:rsidR="00A71754" w:rsidRDefault="001F1A20">
            <w:pPr>
              <w:jc w:val="center"/>
            </w:pPr>
            <w:r>
              <w:rPr>
                <w:color w:val="000000"/>
                <w:sz w:val="24"/>
                <w:szCs w:val="24"/>
              </w:rPr>
              <w:t>603808</w:t>
            </w:r>
          </w:p>
        </w:tc>
        <w:tc>
          <w:tcPr>
            <w:tcW w:w="1777" w:type="dxa"/>
            <w:vAlign w:val="center"/>
          </w:tcPr>
          <w:p w:rsidR="00A71754" w:rsidRDefault="001F1A20">
            <w:pPr>
              <w:jc w:val="center"/>
            </w:pPr>
            <w:r>
              <w:rPr>
                <w:color w:val="000000"/>
                <w:sz w:val="24"/>
                <w:szCs w:val="24"/>
              </w:rPr>
              <w:t>歌力思</w:t>
            </w:r>
          </w:p>
        </w:tc>
        <w:tc>
          <w:tcPr>
            <w:tcW w:w="1334" w:type="dxa"/>
            <w:vAlign w:val="center"/>
          </w:tcPr>
          <w:p w:rsidR="00A71754" w:rsidRDefault="001F1A20">
            <w:pPr>
              <w:jc w:val="right"/>
            </w:pPr>
            <w:r>
              <w:rPr>
                <w:color w:val="000000"/>
                <w:sz w:val="24"/>
                <w:szCs w:val="24"/>
              </w:rPr>
              <w:t>7,087,653</w:t>
            </w:r>
          </w:p>
        </w:tc>
        <w:tc>
          <w:tcPr>
            <w:tcW w:w="1924" w:type="dxa"/>
            <w:vAlign w:val="center"/>
          </w:tcPr>
          <w:p w:rsidR="00A71754" w:rsidRDefault="001F1A20">
            <w:pPr>
              <w:jc w:val="right"/>
            </w:pPr>
            <w:r>
              <w:rPr>
                <w:color w:val="000000"/>
                <w:sz w:val="24"/>
                <w:szCs w:val="24"/>
              </w:rPr>
              <w:t>115,103,484.72</w:t>
            </w:r>
          </w:p>
        </w:tc>
        <w:tc>
          <w:tcPr>
            <w:tcW w:w="1644" w:type="dxa"/>
            <w:vAlign w:val="center"/>
          </w:tcPr>
          <w:p w:rsidR="00A71754" w:rsidRDefault="001F1A20">
            <w:pPr>
              <w:jc w:val="right"/>
            </w:pPr>
            <w:r>
              <w:rPr>
                <w:color w:val="000000"/>
                <w:sz w:val="24"/>
                <w:szCs w:val="24"/>
              </w:rPr>
              <w:t>8.63</w:t>
            </w:r>
          </w:p>
        </w:tc>
      </w:tr>
      <w:tr w:rsidR="00A71754">
        <w:trPr>
          <w:jc w:val="center"/>
        </w:trPr>
        <w:tc>
          <w:tcPr>
            <w:tcW w:w="855" w:type="dxa"/>
            <w:vAlign w:val="center"/>
          </w:tcPr>
          <w:p w:rsidR="00A71754" w:rsidRDefault="001F1A20">
            <w:pPr>
              <w:jc w:val="center"/>
            </w:pPr>
            <w:r>
              <w:rPr>
                <w:color w:val="000000"/>
                <w:sz w:val="24"/>
                <w:szCs w:val="24"/>
              </w:rPr>
              <w:t>4</w:t>
            </w:r>
          </w:p>
        </w:tc>
        <w:tc>
          <w:tcPr>
            <w:tcW w:w="1334" w:type="dxa"/>
            <w:vAlign w:val="center"/>
          </w:tcPr>
          <w:p w:rsidR="00A71754" w:rsidRDefault="001F1A20">
            <w:pPr>
              <w:jc w:val="center"/>
            </w:pPr>
            <w:r>
              <w:rPr>
                <w:color w:val="000000"/>
                <w:sz w:val="24"/>
                <w:szCs w:val="24"/>
              </w:rPr>
              <w:t>002304</w:t>
            </w:r>
          </w:p>
        </w:tc>
        <w:tc>
          <w:tcPr>
            <w:tcW w:w="1777" w:type="dxa"/>
            <w:vAlign w:val="center"/>
          </w:tcPr>
          <w:p w:rsidR="00A71754" w:rsidRDefault="001F1A20">
            <w:pPr>
              <w:jc w:val="center"/>
            </w:pPr>
            <w:r>
              <w:rPr>
                <w:color w:val="000000"/>
                <w:sz w:val="24"/>
                <w:szCs w:val="24"/>
              </w:rPr>
              <w:t>洋河股份</w:t>
            </w:r>
          </w:p>
        </w:tc>
        <w:tc>
          <w:tcPr>
            <w:tcW w:w="1334" w:type="dxa"/>
            <w:vAlign w:val="center"/>
          </w:tcPr>
          <w:p w:rsidR="00A71754" w:rsidRDefault="001F1A20">
            <w:pPr>
              <w:jc w:val="right"/>
            </w:pPr>
            <w:r>
              <w:rPr>
                <w:color w:val="000000"/>
                <w:sz w:val="24"/>
                <w:szCs w:val="24"/>
              </w:rPr>
              <w:t>1,085,986</w:t>
            </w:r>
          </w:p>
        </w:tc>
        <w:tc>
          <w:tcPr>
            <w:tcW w:w="1924" w:type="dxa"/>
            <w:vAlign w:val="center"/>
          </w:tcPr>
          <w:p w:rsidR="00A71754" w:rsidRDefault="001F1A20">
            <w:pPr>
              <w:jc w:val="right"/>
            </w:pPr>
            <w:r>
              <w:rPr>
                <w:color w:val="000000"/>
                <w:sz w:val="24"/>
                <w:szCs w:val="24"/>
              </w:rPr>
              <w:t>102,864,593.92</w:t>
            </w:r>
          </w:p>
        </w:tc>
        <w:tc>
          <w:tcPr>
            <w:tcW w:w="1644" w:type="dxa"/>
            <w:vAlign w:val="center"/>
          </w:tcPr>
          <w:p w:rsidR="00A71754" w:rsidRDefault="001F1A20">
            <w:pPr>
              <w:jc w:val="right"/>
            </w:pPr>
            <w:r>
              <w:rPr>
                <w:color w:val="000000"/>
                <w:sz w:val="24"/>
                <w:szCs w:val="24"/>
              </w:rPr>
              <w:t>7.71</w:t>
            </w:r>
          </w:p>
        </w:tc>
      </w:tr>
      <w:tr w:rsidR="00A71754">
        <w:trPr>
          <w:jc w:val="center"/>
        </w:trPr>
        <w:tc>
          <w:tcPr>
            <w:tcW w:w="855" w:type="dxa"/>
            <w:vAlign w:val="center"/>
          </w:tcPr>
          <w:p w:rsidR="00A71754" w:rsidRDefault="001F1A20">
            <w:pPr>
              <w:jc w:val="center"/>
            </w:pPr>
            <w:r>
              <w:rPr>
                <w:color w:val="000000"/>
                <w:sz w:val="24"/>
                <w:szCs w:val="24"/>
              </w:rPr>
              <w:lastRenderedPageBreak/>
              <w:t>5</w:t>
            </w:r>
          </w:p>
        </w:tc>
        <w:tc>
          <w:tcPr>
            <w:tcW w:w="1334" w:type="dxa"/>
            <w:vAlign w:val="center"/>
          </w:tcPr>
          <w:p w:rsidR="00A71754" w:rsidRDefault="001F1A20">
            <w:pPr>
              <w:jc w:val="center"/>
            </w:pPr>
            <w:r>
              <w:rPr>
                <w:color w:val="000000"/>
                <w:sz w:val="24"/>
                <w:szCs w:val="24"/>
              </w:rPr>
              <w:t>000858</w:t>
            </w:r>
          </w:p>
        </w:tc>
        <w:tc>
          <w:tcPr>
            <w:tcW w:w="1777" w:type="dxa"/>
            <w:vAlign w:val="center"/>
          </w:tcPr>
          <w:p w:rsidR="00A71754" w:rsidRDefault="001F1A20">
            <w:pPr>
              <w:jc w:val="center"/>
            </w:pPr>
            <w:r>
              <w:rPr>
                <w:color w:val="000000"/>
                <w:sz w:val="24"/>
                <w:szCs w:val="24"/>
              </w:rPr>
              <w:t>五粮液</w:t>
            </w:r>
          </w:p>
        </w:tc>
        <w:tc>
          <w:tcPr>
            <w:tcW w:w="1334" w:type="dxa"/>
            <w:vAlign w:val="center"/>
          </w:tcPr>
          <w:p w:rsidR="00A71754" w:rsidRDefault="001F1A20">
            <w:pPr>
              <w:jc w:val="right"/>
            </w:pPr>
            <w:r>
              <w:rPr>
                <w:color w:val="000000"/>
                <w:sz w:val="24"/>
                <w:szCs w:val="24"/>
              </w:rPr>
              <w:t>2,000,443</w:t>
            </w:r>
          </w:p>
        </w:tc>
        <w:tc>
          <w:tcPr>
            <w:tcW w:w="1924" w:type="dxa"/>
            <w:vAlign w:val="center"/>
          </w:tcPr>
          <w:p w:rsidR="00A71754" w:rsidRDefault="001F1A20">
            <w:pPr>
              <w:jc w:val="right"/>
            </w:pPr>
            <w:r>
              <w:rPr>
                <w:color w:val="000000"/>
                <w:sz w:val="24"/>
                <w:szCs w:val="24"/>
              </w:rPr>
              <w:t>101,782,539.84</w:t>
            </w:r>
          </w:p>
        </w:tc>
        <w:tc>
          <w:tcPr>
            <w:tcW w:w="1644" w:type="dxa"/>
            <w:vAlign w:val="center"/>
          </w:tcPr>
          <w:p w:rsidR="00A71754" w:rsidRDefault="001F1A20">
            <w:pPr>
              <w:jc w:val="right"/>
            </w:pPr>
            <w:r>
              <w:rPr>
                <w:color w:val="000000"/>
                <w:sz w:val="24"/>
                <w:szCs w:val="24"/>
              </w:rPr>
              <w:t>7.63</w:t>
            </w:r>
          </w:p>
        </w:tc>
      </w:tr>
      <w:tr w:rsidR="00A71754">
        <w:trPr>
          <w:jc w:val="center"/>
        </w:trPr>
        <w:tc>
          <w:tcPr>
            <w:tcW w:w="855" w:type="dxa"/>
            <w:vAlign w:val="center"/>
          </w:tcPr>
          <w:p w:rsidR="00A71754" w:rsidRDefault="001F1A20">
            <w:pPr>
              <w:jc w:val="center"/>
            </w:pPr>
            <w:r>
              <w:rPr>
                <w:color w:val="000000"/>
                <w:sz w:val="24"/>
                <w:szCs w:val="24"/>
              </w:rPr>
              <w:t>6</w:t>
            </w:r>
          </w:p>
        </w:tc>
        <w:tc>
          <w:tcPr>
            <w:tcW w:w="1334" w:type="dxa"/>
            <w:vAlign w:val="center"/>
          </w:tcPr>
          <w:p w:rsidR="00A71754" w:rsidRDefault="001F1A20">
            <w:pPr>
              <w:jc w:val="center"/>
            </w:pPr>
            <w:r>
              <w:rPr>
                <w:color w:val="000000"/>
                <w:sz w:val="24"/>
                <w:szCs w:val="24"/>
              </w:rPr>
              <w:t>601155</w:t>
            </w:r>
          </w:p>
        </w:tc>
        <w:tc>
          <w:tcPr>
            <w:tcW w:w="1777" w:type="dxa"/>
            <w:vAlign w:val="center"/>
          </w:tcPr>
          <w:p w:rsidR="00A71754" w:rsidRDefault="001F1A20">
            <w:pPr>
              <w:jc w:val="center"/>
            </w:pPr>
            <w:r>
              <w:rPr>
                <w:color w:val="000000"/>
                <w:sz w:val="24"/>
                <w:szCs w:val="24"/>
              </w:rPr>
              <w:t>新城控股</w:t>
            </w:r>
          </w:p>
        </w:tc>
        <w:tc>
          <w:tcPr>
            <w:tcW w:w="1334" w:type="dxa"/>
            <w:vAlign w:val="center"/>
          </w:tcPr>
          <w:p w:rsidR="00A71754" w:rsidRDefault="001F1A20">
            <w:pPr>
              <w:jc w:val="right"/>
            </w:pPr>
            <w:r>
              <w:rPr>
                <w:color w:val="000000"/>
                <w:sz w:val="24"/>
                <w:szCs w:val="24"/>
              </w:rPr>
              <w:t>3,443,358</w:t>
            </w:r>
          </w:p>
        </w:tc>
        <w:tc>
          <w:tcPr>
            <w:tcW w:w="1924" w:type="dxa"/>
            <w:vAlign w:val="center"/>
          </w:tcPr>
          <w:p w:rsidR="00A71754" w:rsidRDefault="001F1A20">
            <w:pPr>
              <w:jc w:val="right"/>
            </w:pPr>
            <w:r>
              <w:rPr>
                <w:color w:val="000000"/>
                <w:sz w:val="24"/>
                <w:szCs w:val="24"/>
              </w:rPr>
              <w:t>81,573,151.02</w:t>
            </w:r>
          </w:p>
        </w:tc>
        <w:tc>
          <w:tcPr>
            <w:tcW w:w="1644" w:type="dxa"/>
            <w:vAlign w:val="center"/>
          </w:tcPr>
          <w:p w:rsidR="00A71754" w:rsidRDefault="001F1A20">
            <w:pPr>
              <w:jc w:val="right"/>
            </w:pPr>
            <w:r>
              <w:rPr>
                <w:color w:val="000000"/>
                <w:sz w:val="24"/>
                <w:szCs w:val="24"/>
              </w:rPr>
              <w:t>6.12</w:t>
            </w:r>
          </w:p>
        </w:tc>
      </w:tr>
      <w:tr w:rsidR="00A71754">
        <w:trPr>
          <w:jc w:val="center"/>
        </w:trPr>
        <w:tc>
          <w:tcPr>
            <w:tcW w:w="855" w:type="dxa"/>
            <w:vAlign w:val="center"/>
          </w:tcPr>
          <w:p w:rsidR="00A71754" w:rsidRDefault="001F1A20">
            <w:pPr>
              <w:jc w:val="center"/>
            </w:pPr>
            <w:r>
              <w:rPr>
                <w:color w:val="000000"/>
                <w:sz w:val="24"/>
                <w:szCs w:val="24"/>
              </w:rPr>
              <w:t>7</w:t>
            </w:r>
          </w:p>
        </w:tc>
        <w:tc>
          <w:tcPr>
            <w:tcW w:w="1334" w:type="dxa"/>
            <w:vAlign w:val="center"/>
          </w:tcPr>
          <w:p w:rsidR="00A71754" w:rsidRDefault="001F1A20">
            <w:pPr>
              <w:jc w:val="center"/>
            </w:pPr>
            <w:r>
              <w:rPr>
                <w:color w:val="000000"/>
                <w:sz w:val="24"/>
                <w:szCs w:val="24"/>
              </w:rPr>
              <w:t>600048</w:t>
            </w:r>
          </w:p>
        </w:tc>
        <w:tc>
          <w:tcPr>
            <w:tcW w:w="1777" w:type="dxa"/>
            <w:vAlign w:val="center"/>
          </w:tcPr>
          <w:p w:rsidR="00A71754" w:rsidRDefault="001F1A20">
            <w:pPr>
              <w:jc w:val="center"/>
            </w:pPr>
            <w:r>
              <w:rPr>
                <w:color w:val="000000"/>
                <w:sz w:val="24"/>
                <w:szCs w:val="24"/>
              </w:rPr>
              <w:t>保利地产</w:t>
            </w:r>
          </w:p>
        </w:tc>
        <w:tc>
          <w:tcPr>
            <w:tcW w:w="1334" w:type="dxa"/>
            <w:vAlign w:val="center"/>
          </w:tcPr>
          <w:p w:rsidR="00A71754" w:rsidRDefault="001F1A20">
            <w:pPr>
              <w:jc w:val="right"/>
            </w:pPr>
            <w:r>
              <w:rPr>
                <w:color w:val="000000"/>
                <w:sz w:val="24"/>
                <w:szCs w:val="24"/>
              </w:rPr>
              <w:t>6,766,228</w:t>
            </w:r>
          </w:p>
        </w:tc>
        <w:tc>
          <w:tcPr>
            <w:tcW w:w="1924" w:type="dxa"/>
            <w:vAlign w:val="center"/>
          </w:tcPr>
          <w:p w:rsidR="00A71754" w:rsidRDefault="001F1A20">
            <w:pPr>
              <w:jc w:val="right"/>
            </w:pPr>
            <w:r>
              <w:rPr>
                <w:color w:val="000000"/>
                <w:sz w:val="24"/>
                <w:szCs w:val="24"/>
              </w:rPr>
              <w:t>79,773,828.12</w:t>
            </w:r>
          </w:p>
        </w:tc>
        <w:tc>
          <w:tcPr>
            <w:tcW w:w="1644" w:type="dxa"/>
            <w:vAlign w:val="center"/>
          </w:tcPr>
          <w:p w:rsidR="00A71754" w:rsidRDefault="001F1A20">
            <w:pPr>
              <w:jc w:val="right"/>
            </w:pPr>
            <w:r>
              <w:rPr>
                <w:color w:val="000000"/>
                <w:sz w:val="24"/>
                <w:szCs w:val="24"/>
              </w:rPr>
              <w:t>5.98</w:t>
            </w:r>
          </w:p>
        </w:tc>
      </w:tr>
      <w:tr w:rsidR="00A71754">
        <w:trPr>
          <w:jc w:val="center"/>
        </w:trPr>
        <w:tc>
          <w:tcPr>
            <w:tcW w:w="855" w:type="dxa"/>
            <w:vAlign w:val="center"/>
          </w:tcPr>
          <w:p w:rsidR="00A71754" w:rsidRDefault="001F1A20">
            <w:pPr>
              <w:jc w:val="center"/>
            </w:pPr>
            <w:r>
              <w:rPr>
                <w:color w:val="000000"/>
                <w:sz w:val="24"/>
                <w:szCs w:val="24"/>
              </w:rPr>
              <w:t>8</w:t>
            </w:r>
          </w:p>
        </w:tc>
        <w:tc>
          <w:tcPr>
            <w:tcW w:w="1334" w:type="dxa"/>
            <w:vAlign w:val="center"/>
          </w:tcPr>
          <w:p w:rsidR="00A71754" w:rsidRDefault="001F1A20">
            <w:pPr>
              <w:jc w:val="center"/>
            </w:pPr>
            <w:r>
              <w:rPr>
                <w:color w:val="000000"/>
                <w:sz w:val="24"/>
                <w:szCs w:val="24"/>
              </w:rPr>
              <w:t>600887</w:t>
            </w:r>
          </w:p>
        </w:tc>
        <w:tc>
          <w:tcPr>
            <w:tcW w:w="1777" w:type="dxa"/>
            <w:vAlign w:val="center"/>
          </w:tcPr>
          <w:p w:rsidR="00A71754" w:rsidRDefault="001F1A20">
            <w:pPr>
              <w:jc w:val="center"/>
            </w:pPr>
            <w:r>
              <w:rPr>
                <w:color w:val="000000"/>
                <w:sz w:val="24"/>
                <w:szCs w:val="24"/>
              </w:rPr>
              <w:t>伊利股份</w:t>
            </w:r>
          </w:p>
        </w:tc>
        <w:tc>
          <w:tcPr>
            <w:tcW w:w="1334" w:type="dxa"/>
            <w:vAlign w:val="center"/>
          </w:tcPr>
          <w:p w:rsidR="00A71754" w:rsidRDefault="001F1A20">
            <w:pPr>
              <w:jc w:val="right"/>
            </w:pPr>
            <w:r>
              <w:rPr>
                <w:color w:val="000000"/>
                <w:sz w:val="24"/>
                <w:szCs w:val="24"/>
              </w:rPr>
              <w:t>2,972,573</w:t>
            </w:r>
          </w:p>
        </w:tc>
        <w:tc>
          <w:tcPr>
            <w:tcW w:w="1924" w:type="dxa"/>
            <w:vAlign w:val="center"/>
          </w:tcPr>
          <w:p w:rsidR="00A71754" w:rsidRDefault="001F1A20">
            <w:pPr>
              <w:jc w:val="right"/>
            </w:pPr>
            <w:r>
              <w:rPr>
                <w:color w:val="000000"/>
                <w:sz w:val="24"/>
                <w:szCs w:val="24"/>
              </w:rPr>
              <w:t>68,012,470.24</w:t>
            </w:r>
          </w:p>
        </w:tc>
        <w:tc>
          <w:tcPr>
            <w:tcW w:w="1644" w:type="dxa"/>
            <w:vAlign w:val="center"/>
          </w:tcPr>
          <w:p w:rsidR="00A71754" w:rsidRDefault="001F1A20">
            <w:pPr>
              <w:jc w:val="right"/>
            </w:pPr>
            <w:r>
              <w:rPr>
                <w:color w:val="000000"/>
                <w:sz w:val="24"/>
                <w:szCs w:val="24"/>
              </w:rPr>
              <w:t>5.10</w:t>
            </w:r>
          </w:p>
        </w:tc>
      </w:tr>
      <w:tr w:rsidR="00A71754">
        <w:trPr>
          <w:jc w:val="center"/>
        </w:trPr>
        <w:tc>
          <w:tcPr>
            <w:tcW w:w="855" w:type="dxa"/>
            <w:vAlign w:val="center"/>
          </w:tcPr>
          <w:p w:rsidR="00A71754" w:rsidRDefault="001F1A20">
            <w:pPr>
              <w:jc w:val="center"/>
            </w:pPr>
            <w:r>
              <w:rPr>
                <w:color w:val="000000"/>
                <w:sz w:val="24"/>
                <w:szCs w:val="24"/>
              </w:rPr>
              <w:t>9</w:t>
            </w:r>
          </w:p>
        </w:tc>
        <w:tc>
          <w:tcPr>
            <w:tcW w:w="1334" w:type="dxa"/>
            <w:vAlign w:val="center"/>
          </w:tcPr>
          <w:p w:rsidR="00A71754" w:rsidRDefault="001F1A20">
            <w:pPr>
              <w:jc w:val="center"/>
            </w:pPr>
            <w:r>
              <w:rPr>
                <w:color w:val="000000"/>
                <w:sz w:val="24"/>
                <w:szCs w:val="24"/>
              </w:rPr>
              <w:t>600276</w:t>
            </w:r>
          </w:p>
        </w:tc>
        <w:tc>
          <w:tcPr>
            <w:tcW w:w="1777" w:type="dxa"/>
            <w:vAlign w:val="center"/>
          </w:tcPr>
          <w:p w:rsidR="00A71754" w:rsidRDefault="001F1A20">
            <w:pPr>
              <w:jc w:val="center"/>
            </w:pPr>
            <w:r>
              <w:rPr>
                <w:color w:val="000000"/>
                <w:sz w:val="24"/>
                <w:szCs w:val="24"/>
              </w:rPr>
              <w:t>恒瑞医药</w:t>
            </w:r>
          </w:p>
        </w:tc>
        <w:tc>
          <w:tcPr>
            <w:tcW w:w="1334" w:type="dxa"/>
            <w:vAlign w:val="center"/>
          </w:tcPr>
          <w:p w:rsidR="00A71754" w:rsidRDefault="001F1A20">
            <w:pPr>
              <w:jc w:val="right"/>
            </w:pPr>
            <w:r>
              <w:rPr>
                <w:color w:val="000000"/>
                <w:sz w:val="24"/>
                <w:szCs w:val="24"/>
              </w:rPr>
              <w:t>1,262,974</w:t>
            </w:r>
          </w:p>
        </w:tc>
        <w:tc>
          <w:tcPr>
            <w:tcW w:w="1924" w:type="dxa"/>
            <w:vAlign w:val="center"/>
          </w:tcPr>
          <w:p w:rsidR="00A71754" w:rsidRDefault="001F1A20">
            <w:pPr>
              <w:jc w:val="right"/>
            </w:pPr>
            <w:r>
              <w:rPr>
                <w:color w:val="000000"/>
                <w:sz w:val="24"/>
                <w:szCs w:val="24"/>
              </w:rPr>
              <w:t>66,621,878.50</w:t>
            </w:r>
          </w:p>
        </w:tc>
        <w:tc>
          <w:tcPr>
            <w:tcW w:w="1644" w:type="dxa"/>
            <w:vAlign w:val="center"/>
          </w:tcPr>
          <w:p w:rsidR="00A71754" w:rsidRDefault="001F1A20">
            <w:pPr>
              <w:jc w:val="right"/>
            </w:pPr>
            <w:r>
              <w:rPr>
                <w:color w:val="000000"/>
                <w:sz w:val="24"/>
                <w:szCs w:val="24"/>
              </w:rPr>
              <w:t>5.00</w:t>
            </w:r>
          </w:p>
        </w:tc>
      </w:tr>
      <w:tr w:rsidR="00A71754">
        <w:trPr>
          <w:jc w:val="center"/>
        </w:trPr>
        <w:tc>
          <w:tcPr>
            <w:tcW w:w="855" w:type="dxa"/>
            <w:vAlign w:val="center"/>
          </w:tcPr>
          <w:p w:rsidR="00A71754" w:rsidRDefault="001F1A20">
            <w:pPr>
              <w:jc w:val="center"/>
            </w:pPr>
            <w:r>
              <w:rPr>
                <w:color w:val="000000"/>
                <w:sz w:val="24"/>
                <w:szCs w:val="24"/>
              </w:rPr>
              <w:t>10</w:t>
            </w:r>
          </w:p>
        </w:tc>
        <w:tc>
          <w:tcPr>
            <w:tcW w:w="1334" w:type="dxa"/>
            <w:vAlign w:val="center"/>
          </w:tcPr>
          <w:p w:rsidR="00A71754" w:rsidRDefault="001F1A20">
            <w:pPr>
              <w:jc w:val="center"/>
            </w:pPr>
            <w:r>
              <w:rPr>
                <w:color w:val="000000"/>
                <w:sz w:val="24"/>
                <w:szCs w:val="24"/>
              </w:rPr>
              <w:t>600559</w:t>
            </w:r>
          </w:p>
        </w:tc>
        <w:tc>
          <w:tcPr>
            <w:tcW w:w="1777" w:type="dxa"/>
            <w:vAlign w:val="center"/>
          </w:tcPr>
          <w:p w:rsidR="00A71754" w:rsidRDefault="001F1A20">
            <w:pPr>
              <w:jc w:val="center"/>
            </w:pPr>
            <w:r>
              <w:rPr>
                <w:color w:val="000000"/>
                <w:sz w:val="24"/>
                <w:szCs w:val="24"/>
              </w:rPr>
              <w:t>老白干酒</w:t>
            </w:r>
          </w:p>
        </w:tc>
        <w:tc>
          <w:tcPr>
            <w:tcW w:w="1334" w:type="dxa"/>
            <w:vAlign w:val="center"/>
          </w:tcPr>
          <w:p w:rsidR="00A71754" w:rsidRDefault="001F1A20">
            <w:pPr>
              <w:jc w:val="right"/>
            </w:pPr>
            <w:r>
              <w:rPr>
                <w:color w:val="000000"/>
                <w:sz w:val="24"/>
                <w:szCs w:val="24"/>
              </w:rPr>
              <w:t>5,100,897</w:t>
            </w:r>
          </w:p>
        </w:tc>
        <w:tc>
          <w:tcPr>
            <w:tcW w:w="1924" w:type="dxa"/>
            <w:vAlign w:val="center"/>
          </w:tcPr>
          <w:p w:rsidR="00A71754" w:rsidRDefault="001F1A20">
            <w:pPr>
              <w:jc w:val="right"/>
            </w:pPr>
            <w:r>
              <w:rPr>
                <w:color w:val="000000"/>
                <w:sz w:val="24"/>
                <w:szCs w:val="24"/>
              </w:rPr>
              <w:t>63,047,086.92</w:t>
            </w:r>
          </w:p>
        </w:tc>
        <w:tc>
          <w:tcPr>
            <w:tcW w:w="1644" w:type="dxa"/>
            <w:vAlign w:val="center"/>
          </w:tcPr>
          <w:p w:rsidR="00A71754" w:rsidRDefault="001F1A20">
            <w:pPr>
              <w:jc w:val="right"/>
            </w:pPr>
            <w:r>
              <w:rPr>
                <w:color w:val="000000"/>
                <w:sz w:val="24"/>
                <w:szCs w:val="24"/>
              </w:rPr>
              <w:t>4.73</w:t>
            </w:r>
          </w:p>
        </w:tc>
      </w:tr>
    </w:tbl>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5.4 </w:t>
      </w:r>
      <w:r w:rsidRPr="00414345">
        <w:rPr>
          <w:b/>
          <w:bCs/>
          <w:color w:val="000000"/>
          <w:kern w:val="0"/>
          <w:sz w:val="24"/>
          <w:szCs w:val="24"/>
        </w:rPr>
        <w:t>报告期末按债券品种分类的债券投资组合</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5.5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的前五名债券投资明细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本基金本报告期末未持有债券。</w:t>
      </w:r>
    </w:p>
    <w:p w:rsidR="004061AC" w:rsidRPr="00414345" w:rsidRDefault="004061AC" w:rsidP="00C15CAC">
      <w:pPr>
        <w:autoSpaceDE w:val="0"/>
        <w:autoSpaceDN w:val="0"/>
        <w:adjustRightInd w:val="0"/>
        <w:spacing w:before="29" w:line="288" w:lineRule="auto"/>
        <w:jc w:val="left"/>
        <w:rPr>
          <w:b/>
          <w:bCs/>
          <w:color w:val="000000"/>
          <w:kern w:val="0"/>
          <w:sz w:val="24"/>
          <w:szCs w:val="24"/>
        </w:rPr>
      </w:pPr>
    </w:p>
    <w:p w:rsidR="004061AC" w:rsidRPr="00414345" w:rsidRDefault="004061AC"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 xml:space="preserve">5.6 </w:t>
      </w:r>
      <w:r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Pr="00414345">
        <w:rPr>
          <w:b/>
          <w:bCs/>
          <w:color w:val="000000"/>
          <w:kern w:val="0"/>
          <w:sz w:val="24"/>
          <w:szCs w:val="24"/>
        </w:rPr>
        <w:t>的前十名资产支持证券投资明细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本基金本报告期末未持有资产支持证券。</w:t>
      </w:r>
    </w:p>
    <w:p w:rsidR="00A54C7D" w:rsidRPr="00414345" w:rsidRDefault="00A54C7D" w:rsidP="00C15CAC">
      <w:pPr>
        <w:autoSpaceDE w:val="0"/>
        <w:autoSpaceDN w:val="0"/>
        <w:adjustRightInd w:val="0"/>
        <w:spacing w:before="29" w:line="288" w:lineRule="auto"/>
        <w:jc w:val="left"/>
        <w:rPr>
          <w:color w:val="000000"/>
          <w:sz w:val="24"/>
          <w:szCs w:val="24"/>
        </w:rPr>
      </w:pPr>
    </w:p>
    <w:p w:rsidR="00A54C7D" w:rsidRPr="00414345" w:rsidRDefault="00A54C7D" w:rsidP="00C15CAC">
      <w:pPr>
        <w:autoSpaceDE w:val="0"/>
        <w:autoSpaceDN w:val="0"/>
        <w:adjustRightInd w:val="0"/>
        <w:spacing w:before="29" w:line="288" w:lineRule="auto"/>
        <w:jc w:val="left"/>
        <w:rPr>
          <w:color w:val="000000"/>
          <w:kern w:val="0"/>
          <w:sz w:val="24"/>
          <w:szCs w:val="24"/>
        </w:rPr>
      </w:pPr>
      <w:r w:rsidRPr="00414345">
        <w:rPr>
          <w:b/>
          <w:bCs/>
          <w:color w:val="000000"/>
          <w:kern w:val="0"/>
          <w:sz w:val="24"/>
          <w:szCs w:val="24"/>
        </w:rPr>
        <w:t>5.7</w:t>
      </w:r>
      <w:r w:rsidRPr="00414345">
        <w:rPr>
          <w:rFonts w:hAnsi="宋体"/>
          <w:b/>
          <w:bCs/>
          <w:color w:val="000000"/>
          <w:kern w:val="0"/>
          <w:sz w:val="24"/>
          <w:szCs w:val="24"/>
        </w:rPr>
        <w:t>报告期末按公允价值占基金资产净值比例大小排序的前五名贵金属投资明细</w:t>
      </w:r>
    </w:p>
    <w:p w:rsidR="00632B0F" w:rsidRPr="00414345" w:rsidRDefault="00632B0F" w:rsidP="00C15CAC">
      <w:pPr>
        <w:widowControl/>
        <w:spacing w:line="288" w:lineRule="auto"/>
        <w:jc w:val="left"/>
        <w:rPr>
          <w:sz w:val="24"/>
          <w:szCs w:val="24"/>
        </w:rPr>
      </w:pPr>
      <w:r w:rsidRPr="00414345">
        <w:rPr>
          <w:sz w:val="24"/>
          <w:szCs w:val="24"/>
        </w:rPr>
        <w:t>本基金本报告期末未持有贵金属。</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4061AC" w:rsidRPr="00414345" w:rsidRDefault="00A917B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5.8</w:t>
      </w:r>
      <w:r w:rsidR="004061AC" w:rsidRPr="00414345">
        <w:rPr>
          <w:b/>
          <w:bCs/>
          <w:color w:val="000000"/>
          <w:kern w:val="0"/>
          <w:sz w:val="24"/>
          <w:szCs w:val="24"/>
        </w:rPr>
        <w:t>报告期末按公允价值占基金资产净值比例大小排</w:t>
      </w:r>
      <w:r w:rsidR="00336EAF" w:rsidRPr="00414345">
        <w:rPr>
          <w:b/>
          <w:bCs/>
          <w:color w:val="000000"/>
          <w:kern w:val="0"/>
          <w:sz w:val="24"/>
          <w:szCs w:val="24"/>
        </w:rPr>
        <w:t>序</w:t>
      </w:r>
      <w:r w:rsidR="004061AC" w:rsidRPr="00414345">
        <w:rPr>
          <w:b/>
          <w:bCs/>
          <w:color w:val="000000"/>
          <w:kern w:val="0"/>
          <w:sz w:val="24"/>
          <w:szCs w:val="24"/>
        </w:rPr>
        <w:t>的前五名权证投资明细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本基金本报告期末未持有权证。</w:t>
      </w:r>
    </w:p>
    <w:p w:rsidR="004061AC" w:rsidRPr="00414345" w:rsidRDefault="004061AC" w:rsidP="00C15CAC">
      <w:pPr>
        <w:autoSpaceDE w:val="0"/>
        <w:autoSpaceDN w:val="0"/>
        <w:adjustRightInd w:val="0"/>
        <w:spacing w:before="29" w:line="288" w:lineRule="auto"/>
        <w:jc w:val="left"/>
        <w:rPr>
          <w:color w:val="000000"/>
          <w:kern w:val="0"/>
          <w:sz w:val="24"/>
          <w:szCs w:val="24"/>
        </w:rPr>
      </w:pPr>
    </w:p>
    <w:p w:rsidR="00275745"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A917BF" w:rsidRPr="00414345">
        <w:rPr>
          <w:b/>
          <w:bCs/>
          <w:color w:val="000000"/>
          <w:kern w:val="0"/>
          <w:sz w:val="24"/>
          <w:szCs w:val="24"/>
        </w:rPr>
        <w:t>.</w:t>
      </w:r>
      <w:r w:rsidR="0059076B" w:rsidRPr="00414345">
        <w:rPr>
          <w:b/>
          <w:bCs/>
          <w:color w:val="000000"/>
          <w:kern w:val="0"/>
          <w:sz w:val="24"/>
          <w:szCs w:val="24"/>
        </w:rPr>
        <w:t>9</w:t>
      </w:r>
      <w:r w:rsidR="00275745" w:rsidRPr="00414345">
        <w:rPr>
          <w:b/>
          <w:bCs/>
          <w:color w:val="000000"/>
          <w:kern w:val="0"/>
          <w:sz w:val="24"/>
          <w:szCs w:val="24"/>
        </w:rPr>
        <w:t>报告期末本基金投资的股指期货交易情况说明</w:t>
      </w:r>
    </w:p>
    <w:p w:rsidR="00275745" w:rsidRPr="00414345" w:rsidRDefault="00AA3A38"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本基金本报告期末未持有股指期货。</w:t>
      </w:r>
    </w:p>
    <w:p w:rsidR="00AA3A38" w:rsidRPr="00414345" w:rsidRDefault="00AA3A38" w:rsidP="00C15CAC">
      <w:pPr>
        <w:adjustRightInd w:val="0"/>
        <w:snapToGrid w:val="0"/>
        <w:spacing w:before="29" w:line="288" w:lineRule="auto"/>
        <w:rPr>
          <w:sz w:val="24"/>
          <w:szCs w:val="24"/>
        </w:rPr>
      </w:pPr>
    </w:p>
    <w:p w:rsidR="00A669FC" w:rsidRPr="00414345" w:rsidRDefault="00312A9F"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5.10</w:t>
      </w:r>
      <w:r w:rsidRPr="00414345">
        <w:rPr>
          <w:b/>
          <w:bCs/>
          <w:color w:val="000000"/>
          <w:kern w:val="0"/>
          <w:sz w:val="24"/>
          <w:szCs w:val="24"/>
        </w:rPr>
        <w:t>报告期末本基金投资的国债期货交易情况说明</w:t>
      </w:r>
    </w:p>
    <w:p w:rsidR="00312A9F" w:rsidRPr="00414345" w:rsidRDefault="00312A9F"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本基金本报告期末未持有国债期货。</w:t>
      </w:r>
    </w:p>
    <w:p w:rsidR="00426096" w:rsidRPr="00414345" w:rsidRDefault="00426096" w:rsidP="00C15CAC">
      <w:pPr>
        <w:autoSpaceDE w:val="0"/>
        <w:autoSpaceDN w:val="0"/>
        <w:adjustRightInd w:val="0"/>
        <w:spacing w:before="29" w:line="288" w:lineRule="auto"/>
        <w:jc w:val="left"/>
        <w:rPr>
          <w:color w:val="000000"/>
          <w:sz w:val="24"/>
          <w:szCs w:val="24"/>
        </w:rPr>
      </w:pPr>
    </w:p>
    <w:p w:rsidR="004061AC" w:rsidRPr="00414345" w:rsidRDefault="003259C8"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5</w:t>
      </w:r>
      <w:r w:rsidR="00275745" w:rsidRPr="00414345">
        <w:rPr>
          <w:b/>
          <w:bCs/>
          <w:color w:val="000000"/>
          <w:kern w:val="0"/>
          <w:sz w:val="24"/>
          <w:szCs w:val="24"/>
        </w:rPr>
        <w:t>.</w:t>
      </w:r>
      <w:r w:rsidR="0059076B" w:rsidRPr="00414345">
        <w:rPr>
          <w:b/>
          <w:bCs/>
          <w:color w:val="000000"/>
          <w:kern w:val="0"/>
          <w:sz w:val="24"/>
          <w:szCs w:val="24"/>
        </w:rPr>
        <w:t>11</w:t>
      </w:r>
      <w:r w:rsidR="004061AC" w:rsidRPr="00414345">
        <w:rPr>
          <w:b/>
          <w:bCs/>
          <w:color w:val="000000"/>
          <w:kern w:val="0"/>
          <w:sz w:val="24"/>
          <w:szCs w:val="24"/>
        </w:rPr>
        <w:t>投资组合报告附注</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5.11.1</w:t>
      </w:r>
      <w:r w:rsidRPr="00BE5388">
        <w:rPr>
          <w:bCs/>
          <w:color w:val="000000"/>
          <w:kern w:val="0"/>
          <w:sz w:val="24"/>
          <w:szCs w:val="24"/>
        </w:rPr>
        <w:t>报告期内本基金投资的前十名证券的发行主体未被监管部门立案调查，在本报告编制日前一年内本基金投资的前十名证券的发行主体未受到公开谴责和处罚。</w:t>
      </w:r>
    </w:p>
    <w:p w:rsidR="00BE5388" w:rsidRPr="00BE5388" w:rsidRDefault="00BE5388" w:rsidP="00E40D31">
      <w:pPr>
        <w:autoSpaceDE w:val="0"/>
        <w:autoSpaceDN w:val="0"/>
        <w:adjustRightInd w:val="0"/>
        <w:spacing w:before="29" w:line="288" w:lineRule="auto"/>
        <w:jc w:val="left"/>
        <w:rPr>
          <w:bCs/>
          <w:color w:val="000000"/>
          <w:kern w:val="0"/>
          <w:sz w:val="24"/>
          <w:szCs w:val="24"/>
        </w:rPr>
      </w:pPr>
      <w:r w:rsidRPr="00BE5388">
        <w:rPr>
          <w:bCs/>
          <w:color w:val="000000"/>
          <w:kern w:val="0"/>
          <w:sz w:val="24"/>
          <w:szCs w:val="24"/>
        </w:rPr>
        <w:t>5.11.2</w:t>
      </w:r>
      <w:r w:rsidRPr="00BE5388">
        <w:rPr>
          <w:bCs/>
          <w:color w:val="000000"/>
          <w:kern w:val="0"/>
          <w:sz w:val="24"/>
          <w:szCs w:val="24"/>
        </w:rPr>
        <w:t>本基金投资的前十名股票中，没有超出基金合同规定的备选股票库之外的股票。</w:t>
      </w: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11.3</w:t>
      </w:r>
      <w:r w:rsidR="0035383E" w:rsidRPr="00414345">
        <w:rPr>
          <w:bCs/>
          <w:color w:val="000000"/>
          <w:kern w:val="0"/>
          <w:sz w:val="24"/>
          <w:szCs w:val="24"/>
        </w:rPr>
        <w:t>其他</w:t>
      </w:r>
      <w:r w:rsidR="004061AC" w:rsidRPr="00414345">
        <w:rPr>
          <w:bCs/>
          <w:color w:val="000000"/>
          <w:kern w:val="0"/>
          <w:sz w:val="24"/>
          <w:szCs w:val="24"/>
        </w:rPr>
        <w:t>资产构成</w:t>
      </w:r>
    </w:p>
    <w:tbl>
      <w:tblPr>
        <w:tblStyle w:val="af7"/>
        <w:tblpPr w:leftFromText="180" w:rightFromText="180" w:vertAnchor="text" w:horzAnchor="margin" w:tblpXSpec="center" w:tblpY="265"/>
        <w:tblW w:w="8868" w:type="dxa"/>
        <w:jc w:val="center"/>
        <w:tblLayout w:type="fixed"/>
        <w:tblCellMar>
          <w:top w:w="-1" w:type="dxa"/>
          <w:bottom w:w="-1" w:type="dxa"/>
        </w:tblCellMar>
        <w:tblLook w:val="04A0" w:firstRow="1" w:lastRow="0" w:firstColumn="1" w:lastColumn="0" w:noHBand="0" w:noVBand="1"/>
      </w:tblPr>
      <w:tblGrid>
        <w:gridCol w:w="1287"/>
        <w:gridCol w:w="2573"/>
        <w:gridCol w:w="5008"/>
      </w:tblGrid>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lastRenderedPageBreak/>
              <w:t>序号</w:t>
            </w:r>
          </w:p>
        </w:tc>
        <w:tc>
          <w:tcPr>
            <w:tcW w:w="2470"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名称</w:t>
            </w:r>
          </w:p>
        </w:tc>
        <w:tc>
          <w:tcPr>
            <w:tcW w:w="4808" w:type="dxa"/>
            <w:vAlign w:val="center"/>
          </w:tcPr>
          <w:p w:rsidR="004C0914" w:rsidRPr="00414345" w:rsidRDefault="004C0914" w:rsidP="00C15CAC">
            <w:pPr>
              <w:autoSpaceDE w:val="0"/>
              <w:autoSpaceDN w:val="0"/>
              <w:adjustRightInd w:val="0"/>
              <w:spacing w:before="29" w:line="288" w:lineRule="auto"/>
              <w:ind w:left="17"/>
              <w:jc w:val="center"/>
              <w:rPr>
                <w:color w:val="000000"/>
                <w:sz w:val="24"/>
                <w:szCs w:val="24"/>
              </w:rPr>
            </w:pPr>
            <w:r w:rsidRPr="00414345">
              <w:rPr>
                <w:color w:val="000000"/>
                <w:sz w:val="24"/>
                <w:szCs w:val="24"/>
              </w:rPr>
              <w:t>金额</w:t>
            </w:r>
            <w:r w:rsidRPr="00414345">
              <w:rPr>
                <w:color w:val="000000"/>
                <w:sz w:val="24"/>
              </w:rPr>
              <w:t>（元）</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1</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存出保证金</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758,875.42</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2</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应收证券清算款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6,546,499.87</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3</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应收股利</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4</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应收利息</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28,331.84</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5</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应收申购款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188,110.38</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6</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其他应收款</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7</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待摊费用</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8</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其他</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w:t>
            </w:r>
          </w:p>
        </w:tc>
      </w:tr>
      <w:tr w:rsidR="004C0914" w:rsidRPr="00414345" w:rsidTr="000243BD">
        <w:trPr>
          <w:jc w:val="center"/>
        </w:trPr>
        <w:tc>
          <w:tcPr>
            <w:tcW w:w="1235" w:type="dxa"/>
            <w:vAlign w:val="center"/>
          </w:tcPr>
          <w:p w:rsidR="004C0914" w:rsidRPr="00414345" w:rsidRDefault="004C0914" w:rsidP="00C15CAC">
            <w:pPr>
              <w:autoSpaceDE w:val="0"/>
              <w:autoSpaceDN w:val="0"/>
              <w:adjustRightInd w:val="0"/>
              <w:spacing w:before="29" w:line="288" w:lineRule="auto"/>
              <w:ind w:left="15"/>
              <w:jc w:val="center"/>
              <w:rPr>
                <w:color w:val="000000"/>
                <w:sz w:val="24"/>
                <w:szCs w:val="24"/>
              </w:rPr>
            </w:pPr>
            <w:r w:rsidRPr="00414345">
              <w:rPr>
                <w:color w:val="000000"/>
                <w:sz w:val="24"/>
                <w:szCs w:val="24"/>
              </w:rPr>
              <w:t>9</w:t>
            </w:r>
          </w:p>
        </w:tc>
        <w:tc>
          <w:tcPr>
            <w:tcW w:w="2470" w:type="dxa"/>
            <w:vAlign w:val="center"/>
          </w:tcPr>
          <w:p w:rsidR="004C0914" w:rsidRPr="00414345" w:rsidRDefault="004C0914" w:rsidP="00C15CAC">
            <w:pPr>
              <w:autoSpaceDE w:val="0"/>
              <w:autoSpaceDN w:val="0"/>
              <w:adjustRightInd w:val="0"/>
              <w:spacing w:before="29" w:line="288" w:lineRule="auto"/>
              <w:ind w:left="15"/>
              <w:jc w:val="left"/>
              <w:rPr>
                <w:color w:val="000000"/>
                <w:sz w:val="24"/>
                <w:szCs w:val="24"/>
              </w:rPr>
            </w:pPr>
            <w:r w:rsidRPr="00414345">
              <w:rPr>
                <w:color w:val="000000"/>
                <w:sz w:val="24"/>
                <w:szCs w:val="24"/>
              </w:rPr>
              <w:t>合计</w:t>
            </w:r>
          </w:p>
        </w:tc>
        <w:tc>
          <w:tcPr>
            <w:tcW w:w="4808" w:type="dxa"/>
            <w:vAlign w:val="center"/>
          </w:tcPr>
          <w:p w:rsidR="004C0914" w:rsidRPr="00414345" w:rsidRDefault="004C0914" w:rsidP="00C15CAC">
            <w:pPr>
              <w:autoSpaceDE w:val="0"/>
              <w:autoSpaceDN w:val="0"/>
              <w:adjustRightInd w:val="0"/>
              <w:spacing w:before="29" w:line="288" w:lineRule="auto"/>
              <w:ind w:left="15"/>
              <w:jc w:val="right"/>
              <w:rPr>
                <w:color w:val="000000"/>
                <w:sz w:val="24"/>
                <w:szCs w:val="24"/>
              </w:rPr>
            </w:pPr>
            <w:r w:rsidRPr="00414345">
              <w:rPr>
                <w:color w:val="000000"/>
                <w:sz w:val="24"/>
                <w:szCs w:val="24"/>
              </w:rPr>
              <w:t>7,521,817.51</w:t>
            </w:r>
          </w:p>
        </w:tc>
      </w:tr>
    </w:tbl>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275745" w:rsidRPr="00414345">
        <w:rPr>
          <w:bCs/>
          <w:color w:val="000000"/>
          <w:kern w:val="0"/>
          <w:sz w:val="24"/>
          <w:szCs w:val="24"/>
        </w:rPr>
        <w:t>.</w:t>
      </w:r>
      <w:r w:rsidR="0059076B" w:rsidRPr="00414345">
        <w:rPr>
          <w:bCs/>
          <w:color w:val="000000"/>
          <w:kern w:val="0"/>
          <w:sz w:val="24"/>
          <w:szCs w:val="24"/>
        </w:rPr>
        <w:t>11.4</w:t>
      </w:r>
      <w:r w:rsidR="004061AC" w:rsidRPr="00414345">
        <w:rPr>
          <w:bCs/>
          <w:color w:val="000000"/>
          <w:kern w:val="0"/>
          <w:sz w:val="24"/>
          <w:szCs w:val="24"/>
        </w:rPr>
        <w:t>报告期末持有的处于转股期的可转换债券明细</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本基金本报告期末未持有处于转股期的可转换债券。</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11.5</w:t>
      </w:r>
      <w:r w:rsidR="004061AC" w:rsidRPr="00414345">
        <w:rPr>
          <w:bCs/>
          <w:color w:val="000000"/>
          <w:kern w:val="0"/>
          <w:sz w:val="24"/>
          <w:szCs w:val="24"/>
        </w:rPr>
        <w:t>报告期末前十名股票中存在流通受限情况的说明</w:t>
      </w:r>
    </w:p>
    <w:p w:rsidR="004061AC" w:rsidRPr="00414345" w:rsidRDefault="004061AC" w:rsidP="00C15CAC">
      <w:pPr>
        <w:autoSpaceDE w:val="0"/>
        <w:autoSpaceDN w:val="0"/>
        <w:adjustRightInd w:val="0"/>
        <w:spacing w:before="29" w:line="288" w:lineRule="auto"/>
        <w:jc w:val="left"/>
        <w:rPr>
          <w:color w:val="000000"/>
          <w:sz w:val="24"/>
          <w:szCs w:val="24"/>
        </w:rPr>
      </w:pPr>
      <w:r w:rsidRPr="00414345">
        <w:rPr>
          <w:color w:val="000000"/>
          <w:sz w:val="24"/>
          <w:szCs w:val="24"/>
        </w:rPr>
        <w:t>本基金本报告期末前十名股票中不存在流通受限情况。</w:t>
      </w:r>
    </w:p>
    <w:p w:rsidR="002918E3" w:rsidRPr="00414345" w:rsidRDefault="002918E3" w:rsidP="00C15CAC">
      <w:pPr>
        <w:autoSpaceDE w:val="0"/>
        <w:autoSpaceDN w:val="0"/>
        <w:adjustRightInd w:val="0"/>
        <w:spacing w:before="29" w:line="288" w:lineRule="auto"/>
        <w:rPr>
          <w:color w:val="000000"/>
          <w:sz w:val="24"/>
          <w:szCs w:val="24"/>
        </w:rPr>
      </w:pPr>
    </w:p>
    <w:p w:rsidR="004061AC" w:rsidRPr="00414345" w:rsidRDefault="003259C8" w:rsidP="00C15CAC">
      <w:pPr>
        <w:autoSpaceDE w:val="0"/>
        <w:autoSpaceDN w:val="0"/>
        <w:adjustRightInd w:val="0"/>
        <w:spacing w:before="29" w:line="288" w:lineRule="auto"/>
        <w:jc w:val="left"/>
        <w:rPr>
          <w:bCs/>
          <w:color w:val="000000"/>
          <w:kern w:val="0"/>
          <w:sz w:val="24"/>
          <w:szCs w:val="24"/>
        </w:rPr>
      </w:pPr>
      <w:r w:rsidRPr="00414345">
        <w:rPr>
          <w:bCs/>
          <w:color w:val="000000"/>
          <w:kern w:val="0"/>
          <w:sz w:val="24"/>
          <w:szCs w:val="24"/>
        </w:rPr>
        <w:t>5</w:t>
      </w:r>
      <w:r w:rsidR="004061AC" w:rsidRPr="00414345">
        <w:rPr>
          <w:bCs/>
          <w:color w:val="000000"/>
          <w:kern w:val="0"/>
          <w:sz w:val="24"/>
          <w:szCs w:val="24"/>
        </w:rPr>
        <w:t>.</w:t>
      </w:r>
      <w:r w:rsidR="0059076B" w:rsidRPr="00414345">
        <w:rPr>
          <w:bCs/>
          <w:color w:val="000000"/>
          <w:kern w:val="0"/>
          <w:sz w:val="24"/>
          <w:szCs w:val="24"/>
        </w:rPr>
        <w:t>11.6</w:t>
      </w:r>
      <w:r w:rsidR="001675CD" w:rsidRPr="00414345">
        <w:rPr>
          <w:bCs/>
          <w:color w:val="000000"/>
          <w:kern w:val="0"/>
          <w:sz w:val="24"/>
          <w:szCs w:val="24"/>
        </w:rPr>
        <w:t>投资组合报告附注的其他文字描述部分</w:t>
      </w:r>
    </w:p>
    <w:p w:rsidR="006B2FF6" w:rsidRPr="00414345" w:rsidRDefault="004061AC" w:rsidP="00E40D31">
      <w:pPr>
        <w:spacing w:before="29" w:line="288" w:lineRule="auto"/>
        <w:rPr>
          <w:color w:val="000000"/>
          <w:sz w:val="24"/>
          <w:szCs w:val="24"/>
        </w:rPr>
      </w:pPr>
      <w:r w:rsidRPr="00414345">
        <w:rPr>
          <w:color w:val="000000"/>
          <w:sz w:val="24"/>
          <w:szCs w:val="24"/>
        </w:rPr>
        <w:t>由于四舍五入的原因，分项之和与合计项之间可能存在尾差。</w:t>
      </w:r>
    </w:p>
    <w:p w:rsidR="001F3E2A" w:rsidRDefault="001F3E2A" w:rsidP="00C15CAC">
      <w:pPr>
        <w:spacing w:before="29" w:line="288" w:lineRule="auto"/>
        <w:ind w:firstLineChars="200" w:firstLine="480"/>
        <w:rPr>
          <w:color w:val="000000"/>
          <w:sz w:val="24"/>
          <w:szCs w:val="24"/>
        </w:rPr>
      </w:pPr>
    </w:p>
    <w:p w:rsidR="001F3E2A" w:rsidRPr="00575270" w:rsidRDefault="001F3E2A" w:rsidP="00092A0A">
      <w:pPr>
        <w:pStyle w:val="1"/>
        <w:spacing w:beforeLines="100" w:before="312" w:afterLines="100" w:after="312" w:line="360" w:lineRule="auto"/>
        <w:jc w:val="center"/>
        <w:rPr>
          <w:rFonts w:eastAsiaTheme="minorEastAsia"/>
          <w:color w:val="000000" w:themeColor="text1"/>
          <w:kern w:val="0"/>
          <w:sz w:val="24"/>
          <w:szCs w:val="24"/>
        </w:rPr>
      </w:pPr>
      <w:r w:rsidRPr="00575270">
        <w:rPr>
          <w:rFonts w:eastAsiaTheme="minorEastAsia"/>
          <w:color w:val="000000" w:themeColor="text1"/>
          <w:kern w:val="0"/>
          <w:sz w:val="24"/>
          <w:szCs w:val="24"/>
        </w:rPr>
        <w:t>§6</w:t>
      </w:r>
      <w:r w:rsidRPr="00575270">
        <w:rPr>
          <w:rFonts w:eastAsiaTheme="minorEastAsia" w:hint="eastAsia"/>
          <w:color w:val="000000" w:themeColor="text1"/>
          <w:kern w:val="0"/>
          <w:sz w:val="24"/>
          <w:szCs w:val="24"/>
        </w:rPr>
        <w:t xml:space="preserve">  </w:t>
      </w:r>
      <w:r w:rsidRPr="00575270">
        <w:rPr>
          <w:rFonts w:eastAsiaTheme="minorEastAsia" w:hint="eastAsia"/>
          <w:color w:val="000000" w:themeColor="text1"/>
          <w:kern w:val="0"/>
          <w:sz w:val="24"/>
          <w:szCs w:val="24"/>
        </w:rPr>
        <w:t>基金中基金</w:t>
      </w:r>
    </w:p>
    <w:p w:rsidR="001F3E2A" w:rsidRPr="00575270" w:rsidRDefault="001F3E2A" w:rsidP="001F3E2A">
      <w:pPr>
        <w:adjustRightInd w:val="0"/>
        <w:snapToGrid w:val="0"/>
        <w:spacing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6.1</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报告期末按公允价值占基金资产净值比例大小排序的前十名基金投资明细</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本基金本报告期末未持有基金。</w:t>
      </w:r>
    </w:p>
    <w:p w:rsidR="001F3E2A" w:rsidRPr="00575270" w:rsidRDefault="001F3E2A" w:rsidP="00092A0A">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6.2</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当期交易及持有基金产生的费用</w:t>
      </w:r>
    </w:p>
    <w:p w:rsidR="001F3E2A" w:rsidRPr="00575270" w:rsidRDefault="001F3E2A" w:rsidP="001F3E2A">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color w:val="000000" w:themeColor="text1"/>
          <w:sz w:val="24"/>
          <w:szCs w:val="24"/>
        </w:rPr>
        <w:t>本基金本报告期内未交易或持有基金。</w:t>
      </w:r>
    </w:p>
    <w:p w:rsidR="001F3E2A" w:rsidRPr="00575270" w:rsidRDefault="001F3E2A" w:rsidP="00092A0A">
      <w:pPr>
        <w:adjustRightInd w:val="0"/>
        <w:snapToGrid w:val="0"/>
        <w:spacing w:beforeLines="50" w:before="156" w:line="360" w:lineRule="auto"/>
        <w:rPr>
          <w:rFonts w:eastAsiaTheme="minorEastAsia"/>
          <w:b/>
          <w:color w:val="000000" w:themeColor="text1"/>
          <w:kern w:val="0"/>
          <w:sz w:val="24"/>
          <w:szCs w:val="24"/>
        </w:rPr>
      </w:pPr>
      <w:r w:rsidRPr="00575270">
        <w:rPr>
          <w:rFonts w:eastAsiaTheme="minorEastAsia"/>
          <w:b/>
          <w:color w:val="000000" w:themeColor="text1"/>
          <w:kern w:val="0"/>
          <w:sz w:val="24"/>
          <w:szCs w:val="24"/>
        </w:rPr>
        <w:t>6.3</w:t>
      </w:r>
      <w:r w:rsidRPr="00575270">
        <w:rPr>
          <w:rFonts w:eastAsiaTheme="minorEastAsia" w:hint="eastAsia"/>
          <w:b/>
          <w:color w:val="000000" w:themeColor="text1"/>
          <w:kern w:val="0"/>
          <w:sz w:val="24"/>
          <w:szCs w:val="24"/>
        </w:rPr>
        <w:t xml:space="preserve"> </w:t>
      </w:r>
      <w:r w:rsidRPr="00575270">
        <w:rPr>
          <w:rFonts w:eastAsiaTheme="minorEastAsia" w:hint="eastAsia"/>
          <w:b/>
          <w:color w:val="000000" w:themeColor="text1"/>
          <w:kern w:val="0"/>
          <w:sz w:val="24"/>
          <w:szCs w:val="24"/>
        </w:rPr>
        <w:t>本报告期持有的基金发生的重大影响事件</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6"/>
      </w:tblGrid>
      <w:tr w:rsidR="001F3E2A" w:rsidRPr="00575270" w:rsidTr="00D9393A">
        <w:tc>
          <w:tcPr>
            <w:tcW w:w="9036" w:type="dxa"/>
          </w:tcPr>
          <w:p w:rsidR="001F3E2A" w:rsidRPr="00575270" w:rsidRDefault="001F3E2A" w:rsidP="00CD14C0">
            <w:pPr>
              <w:autoSpaceDE w:val="0"/>
              <w:autoSpaceDN w:val="0"/>
              <w:adjustRightInd w:val="0"/>
              <w:spacing w:line="360" w:lineRule="auto"/>
              <w:ind w:firstLineChars="200" w:firstLine="480"/>
              <w:jc w:val="left"/>
              <w:rPr>
                <w:rFonts w:eastAsiaTheme="minorEastAsia"/>
                <w:color w:val="000000" w:themeColor="text1"/>
                <w:sz w:val="24"/>
                <w:szCs w:val="24"/>
              </w:rPr>
            </w:pPr>
            <w:r w:rsidRPr="00575270">
              <w:rPr>
                <w:rFonts w:eastAsiaTheme="minorEastAsia" w:hint="eastAsia"/>
                <w:color w:val="000000" w:themeColor="text1"/>
                <w:sz w:val="24"/>
                <w:szCs w:val="24"/>
              </w:rPr>
              <w:t>无。</w:t>
            </w:r>
          </w:p>
        </w:tc>
      </w:tr>
    </w:tbl>
    <w:p w:rsidR="001F3E2A" w:rsidRPr="00414345" w:rsidRDefault="001F3E2A" w:rsidP="00C15CAC">
      <w:pPr>
        <w:spacing w:before="29" w:line="288" w:lineRule="auto"/>
        <w:ind w:firstLineChars="200" w:firstLine="480"/>
        <w:rPr>
          <w:color w:val="000000"/>
          <w:sz w:val="24"/>
          <w:szCs w:val="24"/>
        </w:rPr>
      </w:pPr>
    </w:p>
    <w:p w:rsidR="004061AC" w:rsidRPr="005A3D62" w:rsidRDefault="004061AC" w:rsidP="00092A0A">
      <w:pPr>
        <w:pStyle w:val="1"/>
        <w:spacing w:beforeLines="100" w:before="312" w:afterLines="100" w:after="312" w:line="360" w:lineRule="auto"/>
        <w:jc w:val="center"/>
        <w:rPr>
          <w:rFonts w:eastAsiaTheme="minorEastAsia"/>
          <w:color w:val="000000" w:themeColor="text1"/>
          <w:kern w:val="0"/>
          <w:sz w:val="24"/>
          <w:szCs w:val="24"/>
        </w:rPr>
      </w:pPr>
      <w:r w:rsidRPr="005A3D62">
        <w:rPr>
          <w:rFonts w:eastAsiaTheme="minorEastAsia"/>
          <w:color w:val="000000" w:themeColor="text1"/>
          <w:kern w:val="0"/>
          <w:sz w:val="24"/>
          <w:szCs w:val="24"/>
        </w:rPr>
        <w:lastRenderedPageBreak/>
        <w:t>§</w:t>
      </w:r>
      <w:r w:rsidR="0072794E" w:rsidRPr="005A3D62">
        <w:rPr>
          <w:rFonts w:eastAsiaTheme="minorEastAsia"/>
          <w:color w:val="000000" w:themeColor="text1"/>
          <w:kern w:val="0"/>
          <w:sz w:val="24"/>
          <w:szCs w:val="24"/>
        </w:rPr>
        <w:t>7</w:t>
      </w:r>
      <w:r w:rsidRPr="005A3D62">
        <w:rPr>
          <w:rFonts w:eastAsiaTheme="minorEastAsia"/>
          <w:color w:val="000000" w:themeColor="text1"/>
          <w:kern w:val="0"/>
          <w:sz w:val="24"/>
          <w:szCs w:val="24"/>
        </w:rPr>
        <w:t xml:space="preserve">  </w:t>
      </w:r>
      <w:r w:rsidRPr="005A3D62">
        <w:rPr>
          <w:rFonts w:eastAsiaTheme="minorEastAsia"/>
          <w:color w:val="000000" w:themeColor="text1"/>
          <w:kern w:val="0"/>
          <w:sz w:val="24"/>
          <w:szCs w:val="24"/>
        </w:rPr>
        <w:t>开放式基金份额变动</w:t>
      </w:r>
    </w:p>
    <w:p w:rsidR="004061AC" w:rsidRPr="00414345" w:rsidRDefault="004061AC" w:rsidP="00C15CAC">
      <w:pPr>
        <w:autoSpaceDE w:val="0"/>
        <w:autoSpaceDN w:val="0"/>
        <w:adjustRightInd w:val="0"/>
        <w:spacing w:before="29" w:line="288" w:lineRule="auto"/>
        <w:ind w:left="15"/>
        <w:jc w:val="right"/>
        <w:rPr>
          <w:color w:val="000000"/>
          <w:kern w:val="0"/>
          <w:sz w:val="24"/>
          <w:szCs w:val="24"/>
        </w:rPr>
      </w:pPr>
      <w:r w:rsidRPr="00414345">
        <w:rPr>
          <w:color w:val="000000"/>
          <w:kern w:val="0"/>
          <w:sz w:val="24"/>
          <w:szCs w:val="24"/>
        </w:rPr>
        <w:t>单位：份</w:t>
      </w:r>
    </w:p>
    <w:tbl>
      <w:tblPr>
        <w:tblW w:w="8868" w:type="dxa"/>
        <w:jc w:val="center"/>
        <w:tblLayout w:type="fixed"/>
        <w:tblCellMar>
          <w:top w:w="-1" w:type="dxa"/>
          <w:bottom w:w="-1" w:type="dxa"/>
        </w:tblCellMar>
        <w:tblLook w:val="0000" w:firstRow="0" w:lastRow="0" w:firstColumn="0" w:lastColumn="0" w:noHBand="0" w:noVBand="0"/>
      </w:tblPr>
      <w:tblGrid>
        <w:gridCol w:w="4734"/>
        <w:gridCol w:w="4134"/>
      </w:tblGrid>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1,741,555,320.72</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13,706,760.07</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减：</w:t>
            </w:r>
            <w:r w:rsidR="00FE179F" w:rsidRPr="00414345">
              <w:rPr>
                <w:color w:val="000000"/>
                <w:kern w:val="0"/>
                <w:sz w:val="24"/>
                <w:szCs w:val="24"/>
              </w:rPr>
              <w:t>本报告期</w:t>
            </w:r>
            <w:r w:rsidR="00F31B0C">
              <w:rPr>
                <w:rFonts w:hint="eastAsia"/>
                <w:color w:val="000000"/>
                <w:kern w:val="0"/>
                <w:sz w:val="24"/>
                <w:szCs w:val="24"/>
              </w:rPr>
              <w:t>期间</w:t>
            </w:r>
            <w:r w:rsidRPr="00414345">
              <w:rPr>
                <w:color w:val="000000"/>
                <w:kern w:val="0"/>
                <w:sz w:val="24"/>
                <w:szCs w:val="24"/>
              </w:rPr>
              <w:t>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56,476,768.53</w:t>
            </w:r>
          </w:p>
        </w:tc>
      </w:tr>
      <w:tr w:rsidR="004061AC"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FE179F" w:rsidP="0035076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本报告期</w:t>
            </w:r>
            <w:r w:rsidR="00F31B0C">
              <w:rPr>
                <w:rFonts w:hint="eastAsia"/>
                <w:color w:val="000000"/>
                <w:kern w:val="0"/>
                <w:sz w:val="24"/>
                <w:szCs w:val="24"/>
              </w:rPr>
              <w:t>期间</w:t>
            </w:r>
            <w:r w:rsidR="004061AC" w:rsidRPr="00414345">
              <w:rPr>
                <w:color w:val="000000"/>
                <w:kern w:val="0"/>
                <w:sz w:val="24"/>
                <w:szCs w:val="24"/>
              </w:rPr>
              <w:t>基金拆分变动份额</w:t>
            </w:r>
            <w:r w:rsidR="00F31B0C" w:rsidRPr="006664D2">
              <w:rPr>
                <w:rFonts w:hint="eastAsia"/>
                <w:color w:val="000000"/>
                <w:kern w:val="0"/>
                <w:sz w:val="24"/>
              </w:rPr>
              <w:t>（份额减少以</w:t>
            </w:r>
            <w:r w:rsidR="00F31B0C" w:rsidRPr="004D5D71">
              <w:rPr>
                <w:color w:val="000000"/>
              </w:rPr>
              <w:t>“-”</w:t>
            </w:r>
            <w:r w:rsidR="00F31B0C" w:rsidRPr="006664D2">
              <w:rPr>
                <w:rFonts w:hint="eastAsia"/>
                <w:color w:val="000000"/>
                <w:kern w:val="0"/>
                <w:sz w:val="24"/>
              </w:rPr>
              <w:t>填列）</w:t>
            </w:r>
          </w:p>
        </w:tc>
        <w:tc>
          <w:tcPr>
            <w:tcW w:w="4025" w:type="dxa"/>
            <w:tcBorders>
              <w:top w:val="single" w:sz="8" w:space="0" w:color="000000"/>
              <w:left w:val="single" w:sz="8" w:space="0" w:color="000000"/>
              <w:bottom w:val="single" w:sz="8" w:space="0" w:color="000000"/>
              <w:right w:val="single" w:sz="8" w:space="0" w:color="000000"/>
            </w:tcBorders>
            <w:vAlign w:val="center"/>
          </w:tcPr>
          <w:p w:rsidR="004061AC" w:rsidRPr="00414345" w:rsidRDefault="004061AC"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w:t>
            </w:r>
          </w:p>
        </w:tc>
      </w:tr>
      <w:tr w:rsidR="006D7FF8" w:rsidRPr="00414345" w:rsidTr="00AB4DB6">
        <w:trPr>
          <w:jc w:val="center"/>
        </w:trPr>
        <w:tc>
          <w:tcPr>
            <w:tcW w:w="4609"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left"/>
              <w:rPr>
                <w:color w:val="000000"/>
                <w:kern w:val="0"/>
                <w:sz w:val="24"/>
                <w:szCs w:val="24"/>
              </w:rPr>
            </w:pPr>
            <w:r w:rsidRPr="00414345">
              <w:rPr>
                <w:color w:val="000000"/>
                <w:kern w:val="0"/>
                <w:sz w:val="24"/>
                <w:szCs w:val="24"/>
              </w:rPr>
              <w:t>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6D7FF8" w:rsidRPr="00414345" w:rsidRDefault="006D7FF8" w:rsidP="00C15CAC">
            <w:pPr>
              <w:autoSpaceDE w:val="0"/>
              <w:autoSpaceDN w:val="0"/>
              <w:adjustRightInd w:val="0"/>
              <w:spacing w:before="29" w:line="288" w:lineRule="auto"/>
              <w:ind w:left="17"/>
              <w:jc w:val="right"/>
              <w:rPr>
                <w:color w:val="000000"/>
                <w:sz w:val="24"/>
                <w:szCs w:val="24"/>
              </w:rPr>
            </w:pPr>
            <w:r w:rsidRPr="00414345">
              <w:rPr>
                <w:color w:val="000000"/>
                <w:sz w:val="24"/>
                <w:szCs w:val="24"/>
              </w:rPr>
              <w:t>1,698,785,312.26</w:t>
            </w:r>
          </w:p>
        </w:tc>
      </w:tr>
    </w:tbl>
    <w:p w:rsidR="00A71754" w:rsidRDefault="001F1A20">
      <w:pPr>
        <w:autoSpaceDE w:val="0"/>
        <w:autoSpaceDN w:val="0"/>
        <w:adjustRightInd w:val="0"/>
        <w:spacing w:before="29" w:line="288" w:lineRule="auto"/>
        <w:jc w:val="left"/>
        <w:rPr>
          <w:color w:val="000000"/>
          <w:sz w:val="24"/>
          <w:szCs w:val="24"/>
        </w:rPr>
      </w:pPr>
      <w:r>
        <w:rPr>
          <w:color w:val="000000"/>
          <w:sz w:val="24"/>
          <w:szCs w:val="24"/>
        </w:rPr>
        <w:t>注：</w:t>
      </w:r>
      <w:r>
        <w:rPr>
          <w:color w:val="000000"/>
          <w:sz w:val="24"/>
          <w:szCs w:val="24"/>
        </w:rPr>
        <w:t>1</w:t>
      </w:r>
      <w:r>
        <w:rPr>
          <w:color w:val="000000"/>
          <w:sz w:val="24"/>
          <w:szCs w:val="24"/>
        </w:rPr>
        <w:t>、如果本报告期间发生转换入、红利再投业务，则总申购份额中包含该业务；</w:t>
      </w:r>
      <w:r>
        <w:rPr>
          <w:color w:val="000000"/>
          <w:sz w:val="24"/>
          <w:szCs w:val="24"/>
        </w:rPr>
        <w:t xml:space="preserve">     </w:t>
      </w:r>
    </w:p>
    <w:p w:rsidR="004061AC" w:rsidRPr="00414345" w:rsidRDefault="004061AC" w:rsidP="00092A0A">
      <w:pPr>
        <w:autoSpaceDE w:val="0"/>
        <w:autoSpaceDN w:val="0"/>
        <w:adjustRightInd w:val="0"/>
        <w:spacing w:before="29" w:line="288" w:lineRule="auto"/>
        <w:ind w:firstLineChars="200" w:firstLine="480"/>
        <w:jc w:val="left"/>
        <w:rPr>
          <w:color w:val="000000"/>
          <w:sz w:val="24"/>
          <w:szCs w:val="24"/>
        </w:rPr>
      </w:pPr>
      <w:bookmarkStart w:id="0" w:name="_GoBack"/>
      <w:bookmarkEnd w:id="0"/>
      <w:r w:rsidRPr="00414345">
        <w:rPr>
          <w:color w:val="000000"/>
          <w:sz w:val="24"/>
          <w:szCs w:val="24"/>
        </w:rPr>
        <w:t>2</w:t>
      </w:r>
      <w:r w:rsidRPr="00414345">
        <w:rPr>
          <w:color w:val="000000"/>
          <w:sz w:val="24"/>
          <w:szCs w:val="24"/>
        </w:rPr>
        <w:t>、如果本报告期间发生转换出业务，则总赎回份额中包含该业务。</w:t>
      </w:r>
    </w:p>
    <w:p w:rsidR="00320E90" w:rsidRDefault="00320E90" w:rsidP="00C15CAC">
      <w:pPr>
        <w:autoSpaceDE w:val="0"/>
        <w:autoSpaceDN w:val="0"/>
        <w:adjustRightInd w:val="0"/>
        <w:spacing w:before="29" w:line="288" w:lineRule="auto"/>
        <w:jc w:val="left"/>
        <w:rPr>
          <w:color w:val="000000"/>
          <w:sz w:val="24"/>
          <w:szCs w:val="24"/>
        </w:rPr>
      </w:pPr>
    </w:p>
    <w:p w:rsidR="00ED2620" w:rsidRPr="00ED2620" w:rsidRDefault="000A2FC0" w:rsidP="00092A0A">
      <w:pPr>
        <w:pStyle w:val="1"/>
        <w:tabs>
          <w:tab w:val="center" w:pos="4156"/>
          <w:tab w:val="right" w:pos="8312"/>
        </w:tabs>
        <w:spacing w:beforeLines="100" w:before="312" w:afterLines="100" w:after="312" w:line="288" w:lineRule="auto"/>
        <w:jc w:val="center"/>
        <w:rPr>
          <w:sz w:val="24"/>
          <w:szCs w:val="24"/>
        </w:rPr>
      </w:pPr>
      <w:r w:rsidRPr="00414345">
        <w:rPr>
          <w:color w:val="000000"/>
          <w:kern w:val="0"/>
          <w:sz w:val="24"/>
          <w:szCs w:val="24"/>
        </w:rPr>
        <w:t>§</w:t>
      </w:r>
      <w:r w:rsidR="00ED2620" w:rsidRPr="00ED2620">
        <w:rPr>
          <w:rFonts w:eastAsiaTheme="minorEastAsia"/>
          <w:color w:val="000000"/>
          <w:kern w:val="0"/>
          <w:sz w:val="24"/>
          <w:szCs w:val="24"/>
        </w:rPr>
        <w:t xml:space="preserve">8  </w:t>
      </w:r>
      <w:r w:rsidR="00ED2620" w:rsidRPr="00ED2620">
        <w:rPr>
          <w:sz w:val="24"/>
          <w:szCs w:val="24"/>
        </w:rPr>
        <w:t>基金管理人运用固有资金投资本基金情况</w:t>
      </w:r>
    </w:p>
    <w:p w:rsidR="00ED2620" w:rsidRPr="00ED2620" w:rsidRDefault="00ED2620" w:rsidP="00C15CAC">
      <w:pPr>
        <w:spacing w:line="288" w:lineRule="auto"/>
        <w:jc w:val="left"/>
        <w:rPr>
          <w:sz w:val="24"/>
          <w:szCs w:val="24"/>
        </w:rPr>
      </w:pPr>
      <w:r w:rsidRPr="00ED2620">
        <w:rPr>
          <w:b/>
          <w:sz w:val="24"/>
        </w:rPr>
        <w:t xml:space="preserve">8.1 </w:t>
      </w:r>
      <w:r w:rsidRPr="00ED2620">
        <w:rPr>
          <w:b/>
          <w:sz w:val="24"/>
        </w:rPr>
        <w:t>基金管理人持有本基金份额变动情况</w:t>
      </w:r>
    </w:p>
    <w:p w:rsidR="00410630" w:rsidRDefault="00ED2620" w:rsidP="00C15CAC">
      <w:pPr>
        <w:autoSpaceDE w:val="0"/>
        <w:autoSpaceDN w:val="0"/>
        <w:adjustRightInd w:val="0"/>
        <w:spacing w:before="29" w:line="288" w:lineRule="auto"/>
        <w:jc w:val="left"/>
        <w:rPr>
          <w:rFonts w:eastAsiaTheme="minorEastAsia"/>
          <w:color w:val="000000"/>
          <w:sz w:val="24"/>
        </w:rPr>
      </w:pPr>
      <w:r w:rsidRPr="00ED2620">
        <w:rPr>
          <w:rFonts w:eastAsiaTheme="minorEastAsia"/>
          <w:color w:val="000000"/>
          <w:sz w:val="24"/>
        </w:rPr>
        <w:t>本报告期内未发生基金管理人运用固有资金投资本基金的情况。</w:t>
      </w:r>
    </w:p>
    <w:p w:rsidR="00410630" w:rsidRDefault="00410630" w:rsidP="00C15CAC">
      <w:pPr>
        <w:autoSpaceDE w:val="0"/>
        <w:autoSpaceDN w:val="0"/>
        <w:adjustRightInd w:val="0"/>
        <w:spacing w:before="29" w:line="288" w:lineRule="auto"/>
        <w:jc w:val="left"/>
        <w:rPr>
          <w:rFonts w:eastAsiaTheme="minorEastAsia"/>
          <w:color w:val="000000"/>
          <w:sz w:val="24"/>
        </w:rPr>
      </w:pPr>
    </w:p>
    <w:p w:rsidR="00410630" w:rsidRPr="00BB5E0E" w:rsidRDefault="00410630" w:rsidP="00BB5E0E">
      <w:pPr>
        <w:spacing w:line="288" w:lineRule="auto"/>
        <w:jc w:val="left"/>
        <w:rPr>
          <w:b/>
          <w:sz w:val="24"/>
        </w:rPr>
      </w:pPr>
      <w:r w:rsidRPr="00410630">
        <w:rPr>
          <w:b/>
          <w:sz w:val="24"/>
        </w:rPr>
        <w:t>8.2</w:t>
      </w:r>
      <w:r w:rsidRPr="00410630">
        <w:rPr>
          <w:rFonts w:hint="eastAsia"/>
          <w:b/>
          <w:sz w:val="24"/>
        </w:rPr>
        <w:t>基金管理人运用固有资金投资本基金交易明细</w:t>
      </w:r>
    </w:p>
    <w:p w:rsidR="00320300" w:rsidRPr="00414345" w:rsidRDefault="00320300" w:rsidP="00C15CAC">
      <w:pPr>
        <w:autoSpaceDE w:val="0"/>
        <w:autoSpaceDN w:val="0"/>
        <w:adjustRightInd w:val="0"/>
        <w:spacing w:before="29" w:line="288" w:lineRule="auto"/>
        <w:jc w:val="left"/>
        <w:rPr>
          <w:color w:val="000000"/>
          <w:sz w:val="24"/>
        </w:rPr>
      </w:pPr>
      <w:r w:rsidRPr="00414345">
        <w:rPr>
          <w:color w:val="000000"/>
          <w:sz w:val="24"/>
        </w:rPr>
        <w:t>本基金管理人本报告期内未进行本基金的申购、赎回、红利再投等。</w:t>
      </w:r>
    </w:p>
    <w:p w:rsidR="00480B35" w:rsidRPr="00414345" w:rsidRDefault="00480B35" w:rsidP="00C15CAC">
      <w:pPr>
        <w:autoSpaceDE w:val="0"/>
        <w:autoSpaceDN w:val="0"/>
        <w:adjustRightInd w:val="0"/>
        <w:spacing w:before="29" w:line="288" w:lineRule="auto"/>
        <w:jc w:val="left"/>
        <w:rPr>
          <w:color w:val="000000"/>
          <w:sz w:val="24"/>
        </w:rPr>
      </w:pPr>
    </w:p>
    <w:p w:rsidR="00B22DEE" w:rsidRPr="00E02660" w:rsidRDefault="004061AC" w:rsidP="00092A0A">
      <w:pPr>
        <w:pStyle w:val="1"/>
        <w:spacing w:beforeLines="100" w:before="312" w:afterLines="100" w:after="312" w:line="288" w:lineRule="auto"/>
        <w:jc w:val="center"/>
        <w:rPr>
          <w:color w:val="000000"/>
          <w:kern w:val="0"/>
          <w:sz w:val="24"/>
          <w:szCs w:val="24"/>
        </w:rPr>
      </w:pPr>
      <w:r w:rsidRPr="00414345">
        <w:rPr>
          <w:color w:val="000000"/>
          <w:kern w:val="0"/>
          <w:sz w:val="24"/>
          <w:szCs w:val="24"/>
        </w:rPr>
        <w:t>§</w:t>
      </w:r>
      <w:r w:rsidR="00D02347" w:rsidRPr="00414345">
        <w:rPr>
          <w:color w:val="000000"/>
          <w:kern w:val="0"/>
          <w:sz w:val="24"/>
          <w:szCs w:val="24"/>
        </w:rPr>
        <w:t>9</w:t>
      </w:r>
      <w:r w:rsidR="00834E74">
        <w:rPr>
          <w:color w:val="000000"/>
          <w:kern w:val="0"/>
          <w:sz w:val="24"/>
          <w:szCs w:val="24"/>
        </w:rPr>
        <w:t xml:space="preserve">  </w:t>
      </w:r>
      <w:r w:rsidRPr="00414345">
        <w:rPr>
          <w:color w:val="000000"/>
          <w:kern w:val="0"/>
          <w:sz w:val="24"/>
          <w:szCs w:val="24"/>
        </w:rPr>
        <w:t>备查文件目录</w:t>
      </w: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1</w:t>
      </w:r>
      <w:r w:rsidR="004061AC" w:rsidRPr="00414345">
        <w:rPr>
          <w:b/>
          <w:bCs/>
          <w:color w:val="000000"/>
          <w:kern w:val="0"/>
          <w:sz w:val="24"/>
          <w:szCs w:val="24"/>
        </w:rPr>
        <w:t>备查文件目录</w:t>
      </w:r>
    </w:p>
    <w:p w:rsidR="00A71754" w:rsidRDefault="001F1A20">
      <w:pPr>
        <w:spacing w:before="29" w:line="288" w:lineRule="auto"/>
        <w:ind w:firstLineChars="200" w:firstLine="480"/>
        <w:rPr>
          <w:color w:val="000000"/>
          <w:sz w:val="24"/>
          <w:szCs w:val="24"/>
        </w:rPr>
      </w:pPr>
      <w:r>
        <w:rPr>
          <w:color w:val="000000"/>
          <w:sz w:val="24"/>
          <w:szCs w:val="24"/>
        </w:rPr>
        <w:t>1</w:t>
      </w:r>
      <w:r>
        <w:rPr>
          <w:color w:val="000000"/>
          <w:sz w:val="24"/>
          <w:szCs w:val="24"/>
        </w:rPr>
        <w:t>、中国证监会准予交银施罗德品质升级混合型证券投资基金募集注册的文件；</w:t>
      </w:r>
      <w:r>
        <w:rPr>
          <w:color w:val="000000"/>
          <w:sz w:val="24"/>
          <w:szCs w:val="24"/>
        </w:rPr>
        <w:t xml:space="preserve"> </w:t>
      </w:r>
    </w:p>
    <w:p w:rsidR="00A71754" w:rsidRDefault="001F1A20">
      <w:pPr>
        <w:spacing w:before="29" w:line="288" w:lineRule="auto"/>
        <w:ind w:firstLineChars="200" w:firstLine="480"/>
        <w:rPr>
          <w:color w:val="000000"/>
          <w:sz w:val="24"/>
          <w:szCs w:val="24"/>
        </w:rPr>
      </w:pPr>
      <w:r>
        <w:rPr>
          <w:color w:val="000000"/>
          <w:sz w:val="24"/>
          <w:szCs w:val="24"/>
        </w:rPr>
        <w:t>2</w:t>
      </w:r>
      <w:r>
        <w:rPr>
          <w:color w:val="000000"/>
          <w:sz w:val="24"/>
          <w:szCs w:val="24"/>
        </w:rPr>
        <w:t>、《交银施罗德品质升级混合型证券投资基金基金合同》；</w:t>
      </w:r>
      <w:r>
        <w:rPr>
          <w:color w:val="000000"/>
          <w:sz w:val="24"/>
          <w:szCs w:val="24"/>
        </w:rPr>
        <w:t xml:space="preserve"> </w:t>
      </w:r>
    </w:p>
    <w:p w:rsidR="00A71754" w:rsidRDefault="001F1A20">
      <w:pPr>
        <w:spacing w:before="29" w:line="288" w:lineRule="auto"/>
        <w:ind w:firstLineChars="200" w:firstLine="480"/>
        <w:rPr>
          <w:color w:val="000000"/>
          <w:sz w:val="24"/>
          <w:szCs w:val="24"/>
        </w:rPr>
      </w:pPr>
      <w:r>
        <w:rPr>
          <w:color w:val="000000"/>
          <w:sz w:val="24"/>
          <w:szCs w:val="24"/>
        </w:rPr>
        <w:t>3</w:t>
      </w:r>
      <w:r>
        <w:rPr>
          <w:color w:val="000000"/>
          <w:sz w:val="24"/>
          <w:szCs w:val="24"/>
        </w:rPr>
        <w:t>、《交银施罗德品质升级混合型证券投资基金招募说明书》；</w:t>
      </w:r>
      <w:r>
        <w:rPr>
          <w:color w:val="000000"/>
          <w:sz w:val="24"/>
          <w:szCs w:val="24"/>
        </w:rPr>
        <w:t xml:space="preserve"> </w:t>
      </w:r>
    </w:p>
    <w:p w:rsidR="00A71754" w:rsidRDefault="001F1A20">
      <w:pPr>
        <w:spacing w:before="29" w:line="288" w:lineRule="auto"/>
        <w:ind w:firstLineChars="200" w:firstLine="480"/>
        <w:rPr>
          <w:color w:val="000000"/>
          <w:sz w:val="24"/>
          <w:szCs w:val="24"/>
        </w:rPr>
      </w:pPr>
      <w:r>
        <w:rPr>
          <w:color w:val="000000"/>
          <w:sz w:val="24"/>
          <w:szCs w:val="24"/>
        </w:rPr>
        <w:t>4</w:t>
      </w:r>
      <w:r>
        <w:rPr>
          <w:color w:val="000000"/>
          <w:sz w:val="24"/>
          <w:szCs w:val="24"/>
        </w:rPr>
        <w:t>、《交银施罗德品质升级混合型证券投资基金托管协议》；</w:t>
      </w:r>
      <w:r>
        <w:rPr>
          <w:color w:val="000000"/>
          <w:sz w:val="24"/>
          <w:szCs w:val="24"/>
        </w:rPr>
        <w:t xml:space="preserve"> </w:t>
      </w:r>
    </w:p>
    <w:p w:rsidR="00A71754" w:rsidRDefault="001F1A20">
      <w:pPr>
        <w:spacing w:before="29" w:line="288" w:lineRule="auto"/>
        <w:ind w:firstLineChars="200" w:firstLine="480"/>
        <w:rPr>
          <w:color w:val="000000"/>
          <w:sz w:val="24"/>
          <w:szCs w:val="24"/>
        </w:rPr>
      </w:pPr>
      <w:r>
        <w:rPr>
          <w:color w:val="000000"/>
          <w:sz w:val="24"/>
          <w:szCs w:val="24"/>
        </w:rPr>
        <w:t>5</w:t>
      </w:r>
      <w:r>
        <w:rPr>
          <w:color w:val="000000"/>
          <w:sz w:val="24"/>
          <w:szCs w:val="24"/>
        </w:rPr>
        <w:t>、关于申请募集注册交银施罗德品质升级混合型证券投资基金的法律意见书；</w:t>
      </w:r>
      <w:r>
        <w:rPr>
          <w:color w:val="000000"/>
          <w:sz w:val="24"/>
          <w:szCs w:val="24"/>
        </w:rPr>
        <w:t xml:space="preserve"> </w:t>
      </w:r>
    </w:p>
    <w:p w:rsidR="00A71754" w:rsidRDefault="001F1A20">
      <w:pPr>
        <w:spacing w:before="29" w:line="288" w:lineRule="auto"/>
        <w:ind w:firstLineChars="200" w:firstLine="480"/>
        <w:rPr>
          <w:color w:val="000000"/>
          <w:sz w:val="24"/>
          <w:szCs w:val="24"/>
        </w:rPr>
      </w:pPr>
      <w:r>
        <w:rPr>
          <w:color w:val="000000"/>
          <w:sz w:val="24"/>
          <w:szCs w:val="24"/>
        </w:rPr>
        <w:t>6</w:t>
      </w:r>
      <w:r>
        <w:rPr>
          <w:color w:val="000000"/>
          <w:sz w:val="24"/>
          <w:szCs w:val="24"/>
        </w:rPr>
        <w:t>、基金管理人业务资格批件、营业执照；</w:t>
      </w:r>
      <w:r>
        <w:rPr>
          <w:color w:val="000000"/>
          <w:sz w:val="24"/>
          <w:szCs w:val="24"/>
        </w:rPr>
        <w:t xml:space="preserve"> </w:t>
      </w:r>
    </w:p>
    <w:p w:rsidR="00A71754" w:rsidRDefault="001F1A20">
      <w:pPr>
        <w:spacing w:before="29" w:line="288" w:lineRule="auto"/>
        <w:ind w:firstLineChars="200" w:firstLine="480"/>
        <w:rPr>
          <w:color w:val="000000"/>
          <w:sz w:val="24"/>
          <w:szCs w:val="24"/>
        </w:rPr>
      </w:pPr>
      <w:r>
        <w:rPr>
          <w:color w:val="000000"/>
          <w:sz w:val="24"/>
          <w:szCs w:val="24"/>
        </w:rPr>
        <w:t>7</w:t>
      </w:r>
      <w:r>
        <w:rPr>
          <w:color w:val="000000"/>
          <w:sz w:val="24"/>
          <w:szCs w:val="24"/>
        </w:rPr>
        <w:t>、基金托管人业务资格批件、营业执照；</w:t>
      </w:r>
      <w:r>
        <w:rPr>
          <w:color w:val="000000"/>
          <w:sz w:val="24"/>
          <w:szCs w:val="24"/>
        </w:rPr>
        <w:t xml:space="preserve"> </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8</w:t>
      </w:r>
      <w:r w:rsidRPr="00414345">
        <w:rPr>
          <w:color w:val="000000"/>
          <w:sz w:val="24"/>
          <w:szCs w:val="24"/>
        </w:rPr>
        <w:t>、报告期内交银施罗德品质升级混合型证券投资基金在指定报刊上各项公告的原稿。</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lastRenderedPageBreak/>
        <w:t>9</w:t>
      </w:r>
      <w:r w:rsidR="004061AC" w:rsidRPr="00414345">
        <w:rPr>
          <w:b/>
          <w:bCs/>
          <w:color w:val="000000"/>
          <w:kern w:val="0"/>
          <w:sz w:val="24"/>
          <w:szCs w:val="24"/>
        </w:rPr>
        <w:t>.</w:t>
      </w:r>
      <w:r w:rsidR="00676095" w:rsidRPr="00414345">
        <w:rPr>
          <w:b/>
          <w:bCs/>
          <w:color w:val="000000"/>
          <w:kern w:val="0"/>
          <w:sz w:val="24"/>
          <w:szCs w:val="24"/>
        </w:rPr>
        <w:t>2</w:t>
      </w:r>
      <w:r w:rsidR="004061AC" w:rsidRPr="00414345">
        <w:rPr>
          <w:b/>
          <w:bCs/>
          <w:color w:val="000000"/>
          <w:kern w:val="0"/>
          <w:sz w:val="24"/>
          <w:szCs w:val="24"/>
        </w:rPr>
        <w:t>存放地点</w:t>
      </w:r>
    </w:p>
    <w:p w:rsidR="004061AC" w:rsidRPr="00414345" w:rsidRDefault="006D7FF8" w:rsidP="00C15CAC">
      <w:pPr>
        <w:spacing w:before="29" w:line="288" w:lineRule="auto"/>
        <w:ind w:firstLineChars="200" w:firstLine="480"/>
        <w:rPr>
          <w:color w:val="000000"/>
          <w:sz w:val="24"/>
          <w:szCs w:val="24"/>
        </w:rPr>
      </w:pPr>
      <w:r w:rsidRPr="00414345">
        <w:rPr>
          <w:color w:val="000000"/>
          <w:sz w:val="24"/>
          <w:szCs w:val="24"/>
        </w:rPr>
        <w:t>备查文件存放于基金管理人的办公场所</w:t>
      </w:r>
    </w:p>
    <w:p w:rsidR="006A48FD" w:rsidRPr="00414345" w:rsidRDefault="006A48FD" w:rsidP="00C15CAC">
      <w:pPr>
        <w:spacing w:before="29" w:line="288" w:lineRule="auto"/>
        <w:ind w:firstLineChars="200" w:firstLine="480"/>
        <w:rPr>
          <w:color w:val="000000"/>
          <w:sz w:val="24"/>
          <w:szCs w:val="24"/>
        </w:rPr>
      </w:pPr>
    </w:p>
    <w:p w:rsidR="004061AC" w:rsidRPr="00414345" w:rsidRDefault="00D02347" w:rsidP="00C15CAC">
      <w:pPr>
        <w:autoSpaceDE w:val="0"/>
        <w:autoSpaceDN w:val="0"/>
        <w:adjustRightInd w:val="0"/>
        <w:spacing w:before="29" w:line="288" w:lineRule="auto"/>
        <w:jc w:val="left"/>
        <w:rPr>
          <w:b/>
          <w:bCs/>
          <w:color w:val="000000"/>
          <w:kern w:val="0"/>
          <w:sz w:val="24"/>
          <w:szCs w:val="24"/>
        </w:rPr>
      </w:pPr>
      <w:r w:rsidRPr="00414345">
        <w:rPr>
          <w:b/>
          <w:bCs/>
          <w:color w:val="000000"/>
          <w:kern w:val="0"/>
          <w:sz w:val="24"/>
          <w:szCs w:val="24"/>
        </w:rPr>
        <w:t>9</w:t>
      </w:r>
      <w:r w:rsidR="004061AC" w:rsidRPr="00414345">
        <w:rPr>
          <w:b/>
          <w:bCs/>
          <w:color w:val="000000"/>
          <w:kern w:val="0"/>
          <w:sz w:val="24"/>
          <w:szCs w:val="24"/>
        </w:rPr>
        <w:t>.</w:t>
      </w:r>
      <w:r w:rsidR="00676095" w:rsidRPr="00414345">
        <w:rPr>
          <w:b/>
          <w:bCs/>
          <w:color w:val="000000"/>
          <w:kern w:val="0"/>
          <w:sz w:val="24"/>
          <w:szCs w:val="24"/>
        </w:rPr>
        <w:t>3</w:t>
      </w:r>
      <w:r w:rsidR="004061AC" w:rsidRPr="00414345">
        <w:rPr>
          <w:b/>
          <w:bCs/>
          <w:color w:val="000000"/>
          <w:kern w:val="0"/>
          <w:sz w:val="24"/>
          <w:szCs w:val="24"/>
        </w:rPr>
        <w:t>查阅方式</w:t>
      </w:r>
    </w:p>
    <w:p w:rsidR="00A71754" w:rsidRDefault="001F1A20">
      <w:pPr>
        <w:spacing w:before="29" w:line="288" w:lineRule="auto"/>
        <w:ind w:firstLineChars="200" w:firstLine="480"/>
        <w:rPr>
          <w:color w:val="000000"/>
          <w:sz w:val="24"/>
          <w:szCs w:val="24"/>
        </w:rPr>
      </w:pPr>
      <w:r>
        <w:rPr>
          <w:color w:val="000000"/>
          <w:sz w:val="24"/>
          <w:szCs w:val="24"/>
        </w:rPr>
        <w:t>投资者可在办公时间内至基金管理人的办公场所免费查阅备查文件，或者登录基金管理人的网站</w:t>
      </w:r>
      <w:r>
        <w:rPr>
          <w:color w:val="000000"/>
          <w:sz w:val="24"/>
          <w:szCs w:val="24"/>
        </w:rPr>
        <w:t>(www.fund001.com)</w:t>
      </w:r>
      <w:r>
        <w:rPr>
          <w:color w:val="000000"/>
          <w:sz w:val="24"/>
          <w:szCs w:val="24"/>
        </w:rPr>
        <w:t>查阅。在支付工本费后，投资者可在合理时间内取得上述文件的复制件或复印件。</w:t>
      </w:r>
      <w:r>
        <w:rPr>
          <w:color w:val="000000"/>
          <w:sz w:val="24"/>
          <w:szCs w:val="24"/>
        </w:rPr>
        <w:t xml:space="preserve"> </w:t>
      </w:r>
    </w:p>
    <w:p w:rsidR="00A90049" w:rsidRPr="00414345" w:rsidRDefault="006D7FF8" w:rsidP="00C15CAC">
      <w:pPr>
        <w:spacing w:before="29" w:line="288" w:lineRule="auto"/>
        <w:ind w:firstLineChars="200" w:firstLine="480"/>
        <w:rPr>
          <w:color w:val="000000"/>
          <w:sz w:val="24"/>
          <w:szCs w:val="24"/>
        </w:rPr>
      </w:pPr>
      <w:r w:rsidRPr="00414345">
        <w:rPr>
          <w:color w:val="000000"/>
          <w:sz w:val="24"/>
          <w:szCs w:val="24"/>
        </w:rPr>
        <w:t>投资者对本报告书如有疑问，可咨询本基金管理人交银施罗德基金管理有限公司。本公司客户服务中心电话：</w:t>
      </w:r>
      <w:r w:rsidRPr="00414345">
        <w:rPr>
          <w:color w:val="000000"/>
          <w:sz w:val="24"/>
          <w:szCs w:val="24"/>
        </w:rPr>
        <w:t>400-700-5000</w:t>
      </w:r>
      <w:r w:rsidRPr="00414345">
        <w:rPr>
          <w:color w:val="000000"/>
          <w:sz w:val="24"/>
          <w:szCs w:val="24"/>
        </w:rPr>
        <w:t>（免长途话费），</w:t>
      </w:r>
      <w:r w:rsidRPr="00414345">
        <w:rPr>
          <w:color w:val="000000"/>
          <w:sz w:val="24"/>
          <w:szCs w:val="24"/>
        </w:rPr>
        <w:t>021-61055000</w:t>
      </w:r>
      <w:r w:rsidRPr="00414345">
        <w:rPr>
          <w:color w:val="000000"/>
          <w:sz w:val="24"/>
          <w:szCs w:val="24"/>
        </w:rPr>
        <w:t>，电子邮件：</w:t>
      </w:r>
      <w:r w:rsidRPr="00414345">
        <w:rPr>
          <w:color w:val="000000"/>
          <w:sz w:val="24"/>
          <w:szCs w:val="24"/>
        </w:rPr>
        <w:t>services@jysld.com</w:t>
      </w:r>
      <w:r w:rsidRPr="00414345">
        <w:rPr>
          <w:color w:val="000000"/>
          <w:sz w:val="24"/>
          <w:szCs w:val="24"/>
        </w:rPr>
        <w:t>。</w:t>
      </w:r>
    </w:p>
    <w:p w:rsidR="002C3C7A" w:rsidRPr="00414345" w:rsidRDefault="002C3C7A" w:rsidP="00C15CAC">
      <w:pPr>
        <w:spacing w:before="29" w:line="288" w:lineRule="auto"/>
        <w:ind w:firstLineChars="200" w:firstLine="480"/>
        <w:rPr>
          <w:color w:val="000000"/>
          <w:sz w:val="24"/>
          <w:szCs w:val="24"/>
        </w:rPr>
      </w:pPr>
    </w:p>
    <w:sectPr w:rsidR="002C3C7A" w:rsidRPr="00414345" w:rsidSect="00000678">
      <w:pgSz w:w="11906" w:h="16838" w:code="9"/>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20" w:rsidRDefault="001F1A20" w:rsidP="00876D65">
      <w:r>
        <w:separator/>
      </w:r>
    </w:p>
  </w:endnote>
  <w:endnote w:type="continuationSeparator" w:id="0">
    <w:p w:rsidR="001F1A20" w:rsidRDefault="001F1A20" w:rsidP="008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angSong">
    <w:altName w:val="Arial"/>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3A" w:rsidRDefault="00D93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40C" w:rsidRPr="001D0DB0" w:rsidRDefault="004D340C" w:rsidP="004D340C">
    <w:pPr>
      <w:pStyle w:val="a6"/>
      <w:jc w:val="center"/>
    </w:pPr>
    <w:r>
      <w:rPr>
        <w:rFonts w:hint="eastAsia"/>
        <w:kern w:val="0"/>
        <w:szCs w:val="21"/>
      </w:rPr>
      <w:t>第</w:t>
    </w:r>
    <w:r w:rsidR="00381EE8">
      <w:rPr>
        <w:kern w:val="0"/>
        <w:szCs w:val="21"/>
      </w:rPr>
      <w:fldChar w:fldCharType="begin"/>
    </w:r>
    <w:r>
      <w:rPr>
        <w:kern w:val="0"/>
        <w:szCs w:val="21"/>
      </w:rPr>
      <w:instrText xml:space="preserve"> PAGE </w:instrText>
    </w:r>
    <w:r w:rsidR="00381EE8">
      <w:rPr>
        <w:kern w:val="0"/>
        <w:szCs w:val="21"/>
      </w:rPr>
      <w:fldChar w:fldCharType="separate"/>
    </w:r>
    <w:r w:rsidR="00092A0A">
      <w:rPr>
        <w:noProof/>
        <w:kern w:val="0"/>
        <w:szCs w:val="21"/>
      </w:rPr>
      <w:t>12</w:t>
    </w:r>
    <w:r w:rsidR="00381EE8">
      <w:rPr>
        <w:kern w:val="0"/>
        <w:szCs w:val="21"/>
      </w:rPr>
      <w:fldChar w:fldCharType="end"/>
    </w:r>
    <w:proofErr w:type="gramStart"/>
    <w:r>
      <w:rPr>
        <w:rFonts w:hint="eastAsia"/>
        <w:kern w:val="0"/>
        <w:szCs w:val="21"/>
      </w:rPr>
      <w:t>页共</w:t>
    </w:r>
    <w:proofErr w:type="gramEnd"/>
    <w:r w:rsidR="00381EE8">
      <w:rPr>
        <w:kern w:val="0"/>
        <w:szCs w:val="21"/>
      </w:rPr>
      <w:fldChar w:fldCharType="begin"/>
    </w:r>
    <w:r>
      <w:rPr>
        <w:kern w:val="0"/>
        <w:szCs w:val="21"/>
      </w:rPr>
      <w:instrText xml:space="preserve"> NUMPAGES </w:instrText>
    </w:r>
    <w:r w:rsidR="00381EE8">
      <w:rPr>
        <w:kern w:val="0"/>
        <w:szCs w:val="21"/>
      </w:rPr>
      <w:fldChar w:fldCharType="separate"/>
    </w:r>
    <w:r w:rsidR="00092A0A">
      <w:rPr>
        <w:noProof/>
        <w:kern w:val="0"/>
        <w:szCs w:val="21"/>
      </w:rPr>
      <w:t>12</w:t>
    </w:r>
    <w:r w:rsidR="00381EE8">
      <w:rPr>
        <w:kern w:val="0"/>
        <w:szCs w:val="21"/>
      </w:rPr>
      <w:fldChar w:fldCharType="end"/>
    </w:r>
    <w:r>
      <w:rPr>
        <w:rFonts w:hint="eastAsia"/>
        <w:kern w:val="0"/>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3A" w:rsidRDefault="00D93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20" w:rsidRDefault="001F1A20" w:rsidP="00876D65">
      <w:r>
        <w:separator/>
      </w:r>
    </w:p>
  </w:footnote>
  <w:footnote w:type="continuationSeparator" w:id="0">
    <w:p w:rsidR="001F1A20" w:rsidRDefault="001F1A20" w:rsidP="00876D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3A" w:rsidRDefault="00D9393A">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EF0" w:rsidRPr="00DC456F" w:rsidRDefault="00DC456F" w:rsidP="00090A26">
    <w:pPr>
      <w:pStyle w:val="a9"/>
      <w:pBdr>
        <w:bottom w:val="single" w:sz="6" w:space="0" w:color="auto"/>
      </w:pBdr>
      <w:jc w:val="right"/>
      <w:rPr>
        <w:sz w:val="24"/>
        <w:szCs w:val="24"/>
      </w:rPr>
    </w:pPr>
    <w:r w:rsidRPr="003E676C">
      <w:rPr>
        <w:sz w:val="24"/>
        <w:szCs w:val="24"/>
      </w:rPr>
      <w:t>交银施罗德品质升级混合型证券投资基金</w:t>
    </w:r>
    <w:r w:rsidRPr="003E676C">
      <w:rPr>
        <w:sz w:val="24"/>
        <w:szCs w:val="24"/>
      </w:rPr>
      <w:t>2018</w:t>
    </w:r>
    <w:r w:rsidRPr="003E676C">
      <w:rPr>
        <w:sz w:val="24"/>
        <w:szCs w:val="24"/>
      </w:rPr>
      <w:t>年第</w:t>
    </w:r>
    <w:r w:rsidRPr="003E676C">
      <w:rPr>
        <w:sz w:val="24"/>
        <w:szCs w:val="24"/>
      </w:rPr>
      <w:t>4</w:t>
    </w:r>
    <w:r w:rsidRPr="003E676C">
      <w:rPr>
        <w:sz w:val="24"/>
        <w:szCs w:val="24"/>
      </w:rPr>
      <w:t>季度报告</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93A" w:rsidRDefault="00D9393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start w:val="1"/>
      <w:numFmt w:val="bullet"/>
      <w:lvlText w:val=""/>
      <w:lvlJc w:val="left"/>
      <w:pPr>
        <w:tabs>
          <w:tab w:val="num" w:pos="1260"/>
        </w:tabs>
        <w:ind w:left="1260" w:hanging="420"/>
      </w:pPr>
      <w:rPr>
        <w:rFonts w:ascii="Wingdings" w:hAnsi="Wingdings" w:cs="Wingdings" w:hint="default"/>
      </w:rPr>
    </w:lvl>
    <w:lvl w:ilvl="2" w:tplc="04090005">
      <w:start w:val="1"/>
      <w:numFmt w:val="bullet"/>
      <w:lvlText w:val=""/>
      <w:lvlJc w:val="left"/>
      <w:pPr>
        <w:tabs>
          <w:tab w:val="num" w:pos="1680"/>
        </w:tabs>
        <w:ind w:left="1680" w:hanging="420"/>
      </w:pPr>
      <w:rPr>
        <w:rFonts w:ascii="Wingdings" w:hAnsi="Wingdings" w:cs="Wingdings" w:hint="default"/>
      </w:rPr>
    </w:lvl>
    <w:lvl w:ilvl="3" w:tplc="04090001">
      <w:start w:val="1"/>
      <w:numFmt w:val="bullet"/>
      <w:lvlText w:val=""/>
      <w:lvlJc w:val="left"/>
      <w:pPr>
        <w:tabs>
          <w:tab w:val="num" w:pos="2100"/>
        </w:tabs>
        <w:ind w:left="2100" w:hanging="420"/>
      </w:pPr>
      <w:rPr>
        <w:rFonts w:ascii="Wingdings" w:hAnsi="Wingdings" w:cs="Wingdings" w:hint="default"/>
      </w:rPr>
    </w:lvl>
    <w:lvl w:ilvl="4" w:tplc="04090003">
      <w:start w:val="1"/>
      <w:numFmt w:val="bullet"/>
      <w:lvlText w:val=""/>
      <w:lvlJc w:val="left"/>
      <w:pPr>
        <w:tabs>
          <w:tab w:val="num" w:pos="2520"/>
        </w:tabs>
        <w:ind w:left="2520" w:hanging="420"/>
      </w:pPr>
      <w:rPr>
        <w:rFonts w:ascii="Wingdings" w:hAnsi="Wingdings" w:cs="Wingdings" w:hint="default"/>
      </w:rPr>
    </w:lvl>
    <w:lvl w:ilvl="5" w:tplc="04090005">
      <w:start w:val="1"/>
      <w:numFmt w:val="bullet"/>
      <w:lvlText w:val=""/>
      <w:lvlJc w:val="left"/>
      <w:pPr>
        <w:tabs>
          <w:tab w:val="num" w:pos="2940"/>
        </w:tabs>
        <w:ind w:left="2940" w:hanging="420"/>
      </w:pPr>
      <w:rPr>
        <w:rFonts w:ascii="Wingdings" w:hAnsi="Wingdings" w:cs="Wingdings" w:hint="default"/>
      </w:rPr>
    </w:lvl>
    <w:lvl w:ilvl="6" w:tplc="04090001">
      <w:start w:val="1"/>
      <w:numFmt w:val="bullet"/>
      <w:lvlText w:val=""/>
      <w:lvlJc w:val="left"/>
      <w:pPr>
        <w:tabs>
          <w:tab w:val="num" w:pos="3360"/>
        </w:tabs>
        <w:ind w:left="3360" w:hanging="420"/>
      </w:pPr>
      <w:rPr>
        <w:rFonts w:ascii="Wingdings" w:hAnsi="Wingdings" w:cs="Wingdings" w:hint="default"/>
      </w:rPr>
    </w:lvl>
    <w:lvl w:ilvl="7" w:tplc="04090003">
      <w:start w:val="1"/>
      <w:numFmt w:val="bullet"/>
      <w:lvlText w:val=""/>
      <w:lvlJc w:val="left"/>
      <w:pPr>
        <w:tabs>
          <w:tab w:val="num" w:pos="3780"/>
        </w:tabs>
        <w:ind w:left="3780" w:hanging="420"/>
      </w:pPr>
      <w:rPr>
        <w:rFonts w:ascii="Wingdings" w:hAnsi="Wingdings" w:cs="Wingdings" w:hint="default"/>
      </w:rPr>
    </w:lvl>
    <w:lvl w:ilvl="8" w:tplc="04090005">
      <w:start w:val="1"/>
      <w:numFmt w:val="bullet"/>
      <w:lvlText w:val=""/>
      <w:lvlJc w:val="left"/>
      <w:pPr>
        <w:tabs>
          <w:tab w:val="num" w:pos="4200"/>
        </w:tabs>
        <w:ind w:left="4200" w:hanging="420"/>
      </w:pPr>
      <w:rPr>
        <w:rFonts w:ascii="Wingdings" w:hAnsi="Wingdings" w:cs="Wingdings" w:hint="default"/>
      </w:rPr>
    </w:lvl>
  </w:abstractNum>
  <w:abstractNum w:abstractNumId="1">
    <w:nsid w:val="57E8240C"/>
    <w:multiLevelType w:val="hybridMultilevel"/>
    <w:tmpl w:val="300A7112"/>
    <w:lvl w:ilvl="0" w:tplc="3782FDB8">
      <w:start w:val="1"/>
      <w:numFmt w:val="decimal"/>
      <w:lvlText w:val="（%1）"/>
      <w:lvlJc w:val="left"/>
      <w:pPr>
        <w:tabs>
          <w:tab w:val="num" w:pos="1200"/>
        </w:tabs>
        <w:ind w:left="1200" w:hanging="720"/>
      </w:pPr>
      <w:rPr>
        <w:rFonts w:hint="eastAsia"/>
        <w:sz w:val="24"/>
        <w:szCs w:val="24"/>
      </w:rPr>
    </w:lvl>
    <w:lvl w:ilvl="1" w:tplc="04090019">
      <w:start w:val="1"/>
      <w:numFmt w:val="lowerLetter"/>
      <w:lvlText w:val="%2)"/>
      <w:lvlJc w:val="left"/>
      <w:pPr>
        <w:tabs>
          <w:tab w:val="num" w:pos="1320"/>
        </w:tabs>
        <w:ind w:left="1320" w:hanging="420"/>
      </w:pPr>
    </w:lvl>
    <w:lvl w:ilvl="2" w:tplc="0409001B">
      <w:start w:val="1"/>
      <w:numFmt w:val="lowerRoman"/>
      <w:lvlText w:val="%3."/>
      <w:lvlJc w:val="right"/>
      <w:pPr>
        <w:tabs>
          <w:tab w:val="num" w:pos="1740"/>
        </w:tabs>
        <w:ind w:left="1740" w:hanging="420"/>
      </w:pPr>
    </w:lvl>
    <w:lvl w:ilvl="3" w:tplc="0409000F">
      <w:start w:val="1"/>
      <w:numFmt w:val="decimal"/>
      <w:lvlText w:val="%4."/>
      <w:lvlJc w:val="left"/>
      <w:pPr>
        <w:tabs>
          <w:tab w:val="num" w:pos="2160"/>
        </w:tabs>
        <w:ind w:left="2160" w:hanging="420"/>
      </w:pPr>
    </w:lvl>
    <w:lvl w:ilvl="4" w:tplc="04090019">
      <w:start w:val="1"/>
      <w:numFmt w:val="lowerLetter"/>
      <w:lvlText w:val="%5)"/>
      <w:lvlJc w:val="left"/>
      <w:pPr>
        <w:tabs>
          <w:tab w:val="num" w:pos="2580"/>
        </w:tabs>
        <w:ind w:left="2580" w:hanging="420"/>
      </w:pPr>
    </w:lvl>
    <w:lvl w:ilvl="5" w:tplc="0409001B">
      <w:start w:val="1"/>
      <w:numFmt w:val="lowerRoman"/>
      <w:lvlText w:val="%6."/>
      <w:lvlJc w:val="right"/>
      <w:pPr>
        <w:tabs>
          <w:tab w:val="num" w:pos="3000"/>
        </w:tabs>
        <w:ind w:left="3000" w:hanging="420"/>
      </w:pPr>
    </w:lvl>
    <w:lvl w:ilvl="6" w:tplc="0409000F">
      <w:start w:val="1"/>
      <w:numFmt w:val="decimal"/>
      <w:lvlText w:val="%7."/>
      <w:lvlJc w:val="left"/>
      <w:pPr>
        <w:tabs>
          <w:tab w:val="num" w:pos="3420"/>
        </w:tabs>
        <w:ind w:left="3420" w:hanging="420"/>
      </w:pPr>
    </w:lvl>
    <w:lvl w:ilvl="7" w:tplc="04090019">
      <w:start w:val="1"/>
      <w:numFmt w:val="lowerLetter"/>
      <w:lvlText w:val="%8)"/>
      <w:lvlJc w:val="left"/>
      <w:pPr>
        <w:tabs>
          <w:tab w:val="num" w:pos="3840"/>
        </w:tabs>
        <w:ind w:left="3840" w:hanging="420"/>
      </w:pPr>
    </w:lvl>
    <w:lvl w:ilvl="8" w:tplc="0409001B">
      <w:start w:val="1"/>
      <w:numFmt w:val="lowerRoman"/>
      <w:lvlText w:val="%9."/>
      <w:lvlJc w:val="right"/>
      <w:pPr>
        <w:tabs>
          <w:tab w:val="num" w:pos="4260"/>
        </w:tabs>
        <w:ind w:left="4260" w:hanging="420"/>
      </w:pPr>
    </w:lvl>
  </w:abstractNum>
  <w:abstractNum w:abstractNumId="2">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2"/>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00678"/>
    <w:rsid w:val="00006A28"/>
    <w:rsid w:val="00014099"/>
    <w:rsid w:val="000160C5"/>
    <w:rsid w:val="000210E7"/>
    <w:rsid w:val="000243BD"/>
    <w:rsid w:val="00024F7F"/>
    <w:rsid w:val="00031EBB"/>
    <w:rsid w:val="00033B8D"/>
    <w:rsid w:val="0004308C"/>
    <w:rsid w:val="00043852"/>
    <w:rsid w:val="000450DD"/>
    <w:rsid w:val="000463DE"/>
    <w:rsid w:val="0006147E"/>
    <w:rsid w:val="000625ED"/>
    <w:rsid w:val="00064D40"/>
    <w:rsid w:val="000815C0"/>
    <w:rsid w:val="000824E7"/>
    <w:rsid w:val="0008313A"/>
    <w:rsid w:val="00085E78"/>
    <w:rsid w:val="0008689B"/>
    <w:rsid w:val="00086D4E"/>
    <w:rsid w:val="000907D2"/>
    <w:rsid w:val="00090A26"/>
    <w:rsid w:val="00092A0A"/>
    <w:rsid w:val="000A2B53"/>
    <w:rsid w:val="000A2FC0"/>
    <w:rsid w:val="000A4173"/>
    <w:rsid w:val="000B1D21"/>
    <w:rsid w:val="000B1EB7"/>
    <w:rsid w:val="000B5C78"/>
    <w:rsid w:val="000B624F"/>
    <w:rsid w:val="000B73C6"/>
    <w:rsid w:val="000C190B"/>
    <w:rsid w:val="000C1E17"/>
    <w:rsid w:val="000C5216"/>
    <w:rsid w:val="000D0E6C"/>
    <w:rsid w:val="000D11DE"/>
    <w:rsid w:val="000D3ED4"/>
    <w:rsid w:val="000E5DA5"/>
    <w:rsid w:val="000E7E5E"/>
    <w:rsid w:val="000F6CC8"/>
    <w:rsid w:val="00111261"/>
    <w:rsid w:val="0011537B"/>
    <w:rsid w:val="00133015"/>
    <w:rsid w:val="00137452"/>
    <w:rsid w:val="00137B31"/>
    <w:rsid w:val="00144F93"/>
    <w:rsid w:val="00147376"/>
    <w:rsid w:val="0015450B"/>
    <w:rsid w:val="00154BE1"/>
    <w:rsid w:val="0015710B"/>
    <w:rsid w:val="00160EDC"/>
    <w:rsid w:val="00162D61"/>
    <w:rsid w:val="001675CD"/>
    <w:rsid w:val="001717D5"/>
    <w:rsid w:val="00171EF0"/>
    <w:rsid w:val="001761D2"/>
    <w:rsid w:val="00176C21"/>
    <w:rsid w:val="001830D7"/>
    <w:rsid w:val="00185A34"/>
    <w:rsid w:val="001934F6"/>
    <w:rsid w:val="00196E6C"/>
    <w:rsid w:val="001A73E8"/>
    <w:rsid w:val="001B0A62"/>
    <w:rsid w:val="001B2F35"/>
    <w:rsid w:val="001B4DD6"/>
    <w:rsid w:val="001B5607"/>
    <w:rsid w:val="001C0993"/>
    <w:rsid w:val="001C79F2"/>
    <w:rsid w:val="001D6A4B"/>
    <w:rsid w:val="001E4630"/>
    <w:rsid w:val="001F0964"/>
    <w:rsid w:val="001F1A20"/>
    <w:rsid w:val="001F30DA"/>
    <w:rsid w:val="001F3E2A"/>
    <w:rsid w:val="001F5DC5"/>
    <w:rsid w:val="00200FAB"/>
    <w:rsid w:val="00213821"/>
    <w:rsid w:val="00213DFB"/>
    <w:rsid w:val="00217B92"/>
    <w:rsid w:val="0022309F"/>
    <w:rsid w:val="00224294"/>
    <w:rsid w:val="002279D3"/>
    <w:rsid w:val="00240248"/>
    <w:rsid w:val="0024363B"/>
    <w:rsid w:val="00246049"/>
    <w:rsid w:val="00247332"/>
    <w:rsid w:val="00253578"/>
    <w:rsid w:val="00261111"/>
    <w:rsid w:val="00264E55"/>
    <w:rsid w:val="00270744"/>
    <w:rsid w:val="002731EC"/>
    <w:rsid w:val="00275745"/>
    <w:rsid w:val="0027688F"/>
    <w:rsid w:val="00276E44"/>
    <w:rsid w:val="00285DB3"/>
    <w:rsid w:val="00285F38"/>
    <w:rsid w:val="00286BEF"/>
    <w:rsid w:val="00286FA2"/>
    <w:rsid w:val="002902E9"/>
    <w:rsid w:val="002918E3"/>
    <w:rsid w:val="00295CD0"/>
    <w:rsid w:val="002973A9"/>
    <w:rsid w:val="002B1D1A"/>
    <w:rsid w:val="002C2834"/>
    <w:rsid w:val="002C3C7A"/>
    <w:rsid w:val="002C5F95"/>
    <w:rsid w:val="002C657A"/>
    <w:rsid w:val="002D48DF"/>
    <w:rsid w:val="002D6872"/>
    <w:rsid w:val="002D6FB6"/>
    <w:rsid w:val="002E3B09"/>
    <w:rsid w:val="002E52B3"/>
    <w:rsid w:val="00301559"/>
    <w:rsid w:val="00302816"/>
    <w:rsid w:val="00304A12"/>
    <w:rsid w:val="00305636"/>
    <w:rsid w:val="00311662"/>
    <w:rsid w:val="00312A9F"/>
    <w:rsid w:val="00315D5D"/>
    <w:rsid w:val="00316484"/>
    <w:rsid w:val="00316E01"/>
    <w:rsid w:val="00320300"/>
    <w:rsid w:val="00320E90"/>
    <w:rsid w:val="00324508"/>
    <w:rsid w:val="003259C8"/>
    <w:rsid w:val="003307FE"/>
    <w:rsid w:val="00333AD0"/>
    <w:rsid w:val="00336EAF"/>
    <w:rsid w:val="003470E2"/>
    <w:rsid w:val="0035076C"/>
    <w:rsid w:val="00352719"/>
    <w:rsid w:val="0035383E"/>
    <w:rsid w:val="00355364"/>
    <w:rsid w:val="00364CCB"/>
    <w:rsid w:val="00365798"/>
    <w:rsid w:val="00381EE8"/>
    <w:rsid w:val="0039085F"/>
    <w:rsid w:val="00394069"/>
    <w:rsid w:val="00396809"/>
    <w:rsid w:val="003A58DC"/>
    <w:rsid w:val="003A6061"/>
    <w:rsid w:val="003B3494"/>
    <w:rsid w:val="003B5E08"/>
    <w:rsid w:val="003B6FBC"/>
    <w:rsid w:val="003C32C0"/>
    <w:rsid w:val="003C50AD"/>
    <w:rsid w:val="003D742E"/>
    <w:rsid w:val="003E62FB"/>
    <w:rsid w:val="003E6867"/>
    <w:rsid w:val="003F09B5"/>
    <w:rsid w:val="003F1ECB"/>
    <w:rsid w:val="003F39DF"/>
    <w:rsid w:val="003F63BE"/>
    <w:rsid w:val="004003F8"/>
    <w:rsid w:val="004033ED"/>
    <w:rsid w:val="004061AC"/>
    <w:rsid w:val="00406DA6"/>
    <w:rsid w:val="00410630"/>
    <w:rsid w:val="00414345"/>
    <w:rsid w:val="004149AC"/>
    <w:rsid w:val="0042009D"/>
    <w:rsid w:val="004216D2"/>
    <w:rsid w:val="00421CD2"/>
    <w:rsid w:val="00426096"/>
    <w:rsid w:val="00427F58"/>
    <w:rsid w:val="00433805"/>
    <w:rsid w:val="00443869"/>
    <w:rsid w:val="00443ABF"/>
    <w:rsid w:val="00460575"/>
    <w:rsid w:val="00463EC0"/>
    <w:rsid w:val="00464787"/>
    <w:rsid w:val="00471408"/>
    <w:rsid w:val="00480B35"/>
    <w:rsid w:val="004858E0"/>
    <w:rsid w:val="00491C81"/>
    <w:rsid w:val="004934E9"/>
    <w:rsid w:val="004943C2"/>
    <w:rsid w:val="004949F3"/>
    <w:rsid w:val="004A11A7"/>
    <w:rsid w:val="004A459C"/>
    <w:rsid w:val="004A7B1D"/>
    <w:rsid w:val="004B2AF4"/>
    <w:rsid w:val="004C0914"/>
    <w:rsid w:val="004C702F"/>
    <w:rsid w:val="004D340C"/>
    <w:rsid w:val="004D495A"/>
    <w:rsid w:val="004E5975"/>
    <w:rsid w:val="004E790A"/>
    <w:rsid w:val="004F1A4E"/>
    <w:rsid w:val="004F50FD"/>
    <w:rsid w:val="00500A03"/>
    <w:rsid w:val="00512200"/>
    <w:rsid w:val="005143CD"/>
    <w:rsid w:val="005144F2"/>
    <w:rsid w:val="00516618"/>
    <w:rsid w:val="00517989"/>
    <w:rsid w:val="005242A5"/>
    <w:rsid w:val="0052479B"/>
    <w:rsid w:val="005249DD"/>
    <w:rsid w:val="00524D96"/>
    <w:rsid w:val="00530ABE"/>
    <w:rsid w:val="00531BA5"/>
    <w:rsid w:val="00531F10"/>
    <w:rsid w:val="00532E86"/>
    <w:rsid w:val="00536432"/>
    <w:rsid w:val="005401DB"/>
    <w:rsid w:val="00540818"/>
    <w:rsid w:val="00542434"/>
    <w:rsid w:val="00542470"/>
    <w:rsid w:val="00542546"/>
    <w:rsid w:val="005454FB"/>
    <w:rsid w:val="005608EF"/>
    <w:rsid w:val="005659E4"/>
    <w:rsid w:val="00570842"/>
    <w:rsid w:val="00572784"/>
    <w:rsid w:val="00572D9F"/>
    <w:rsid w:val="00573097"/>
    <w:rsid w:val="00575270"/>
    <w:rsid w:val="005761EE"/>
    <w:rsid w:val="00582D99"/>
    <w:rsid w:val="00585263"/>
    <w:rsid w:val="005866D3"/>
    <w:rsid w:val="0059076B"/>
    <w:rsid w:val="005910BF"/>
    <w:rsid w:val="005A0A33"/>
    <w:rsid w:val="005A0F1F"/>
    <w:rsid w:val="005A3D62"/>
    <w:rsid w:val="005A6675"/>
    <w:rsid w:val="005B09FA"/>
    <w:rsid w:val="005B2E9C"/>
    <w:rsid w:val="005B3CC0"/>
    <w:rsid w:val="005B4F93"/>
    <w:rsid w:val="005B73D2"/>
    <w:rsid w:val="005D2B36"/>
    <w:rsid w:val="005E475E"/>
    <w:rsid w:val="005F118D"/>
    <w:rsid w:val="005F3996"/>
    <w:rsid w:val="005F6AF6"/>
    <w:rsid w:val="00604E50"/>
    <w:rsid w:val="006054CF"/>
    <w:rsid w:val="006066D2"/>
    <w:rsid w:val="006075E6"/>
    <w:rsid w:val="0061286A"/>
    <w:rsid w:val="00613BB8"/>
    <w:rsid w:val="00614CC4"/>
    <w:rsid w:val="0062025E"/>
    <w:rsid w:val="00625BFC"/>
    <w:rsid w:val="00626998"/>
    <w:rsid w:val="006269FB"/>
    <w:rsid w:val="00627E2D"/>
    <w:rsid w:val="00627EDE"/>
    <w:rsid w:val="00631ED8"/>
    <w:rsid w:val="006326E3"/>
    <w:rsid w:val="00632B0F"/>
    <w:rsid w:val="00636DB7"/>
    <w:rsid w:val="0063783A"/>
    <w:rsid w:val="00641048"/>
    <w:rsid w:val="006423B9"/>
    <w:rsid w:val="00642FA0"/>
    <w:rsid w:val="00653458"/>
    <w:rsid w:val="00654B0D"/>
    <w:rsid w:val="0065599B"/>
    <w:rsid w:val="00655CD8"/>
    <w:rsid w:val="00655E1C"/>
    <w:rsid w:val="006571DC"/>
    <w:rsid w:val="00660D4B"/>
    <w:rsid w:val="00664ECC"/>
    <w:rsid w:val="00670547"/>
    <w:rsid w:val="00670989"/>
    <w:rsid w:val="00672A26"/>
    <w:rsid w:val="006742DC"/>
    <w:rsid w:val="006757DC"/>
    <w:rsid w:val="00676095"/>
    <w:rsid w:val="006823C3"/>
    <w:rsid w:val="006928F1"/>
    <w:rsid w:val="00693843"/>
    <w:rsid w:val="0069426C"/>
    <w:rsid w:val="00694DFB"/>
    <w:rsid w:val="006A0893"/>
    <w:rsid w:val="006A10AB"/>
    <w:rsid w:val="006A1C62"/>
    <w:rsid w:val="006A48FD"/>
    <w:rsid w:val="006A5EA9"/>
    <w:rsid w:val="006A61EE"/>
    <w:rsid w:val="006A67F8"/>
    <w:rsid w:val="006A7AF1"/>
    <w:rsid w:val="006B11BB"/>
    <w:rsid w:val="006B2FF6"/>
    <w:rsid w:val="006B5457"/>
    <w:rsid w:val="006C12B8"/>
    <w:rsid w:val="006C2C1B"/>
    <w:rsid w:val="006C37FC"/>
    <w:rsid w:val="006C7EA3"/>
    <w:rsid w:val="006D2F96"/>
    <w:rsid w:val="006D39E9"/>
    <w:rsid w:val="006D3BE3"/>
    <w:rsid w:val="006D7004"/>
    <w:rsid w:val="006D789D"/>
    <w:rsid w:val="006D7FF8"/>
    <w:rsid w:val="006E042A"/>
    <w:rsid w:val="006E6726"/>
    <w:rsid w:val="006F5E68"/>
    <w:rsid w:val="00706D60"/>
    <w:rsid w:val="007075E3"/>
    <w:rsid w:val="00707F66"/>
    <w:rsid w:val="00710AE0"/>
    <w:rsid w:val="00713A1A"/>
    <w:rsid w:val="00713B5F"/>
    <w:rsid w:val="00720D28"/>
    <w:rsid w:val="00722509"/>
    <w:rsid w:val="00723CB2"/>
    <w:rsid w:val="0072794E"/>
    <w:rsid w:val="00727DD8"/>
    <w:rsid w:val="00727FCD"/>
    <w:rsid w:val="007311DB"/>
    <w:rsid w:val="00733DDD"/>
    <w:rsid w:val="00750CDF"/>
    <w:rsid w:val="00752BA5"/>
    <w:rsid w:val="00755D86"/>
    <w:rsid w:val="007570FE"/>
    <w:rsid w:val="00767C98"/>
    <w:rsid w:val="00770971"/>
    <w:rsid w:val="00772547"/>
    <w:rsid w:val="00775B61"/>
    <w:rsid w:val="007815D8"/>
    <w:rsid w:val="00794090"/>
    <w:rsid w:val="00796CA8"/>
    <w:rsid w:val="007972F5"/>
    <w:rsid w:val="00797305"/>
    <w:rsid w:val="007A0693"/>
    <w:rsid w:val="007A093F"/>
    <w:rsid w:val="007B035B"/>
    <w:rsid w:val="007B4C04"/>
    <w:rsid w:val="007B5AFB"/>
    <w:rsid w:val="007B5F21"/>
    <w:rsid w:val="007C395A"/>
    <w:rsid w:val="007C5862"/>
    <w:rsid w:val="007D0922"/>
    <w:rsid w:val="007D100C"/>
    <w:rsid w:val="007E2686"/>
    <w:rsid w:val="007E57C0"/>
    <w:rsid w:val="007F29B1"/>
    <w:rsid w:val="007F7F0B"/>
    <w:rsid w:val="008014F9"/>
    <w:rsid w:val="0080358B"/>
    <w:rsid w:val="008059BD"/>
    <w:rsid w:val="0081286B"/>
    <w:rsid w:val="00812D46"/>
    <w:rsid w:val="008148E0"/>
    <w:rsid w:val="00815769"/>
    <w:rsid w:val="00815A38"/>
    <w:rsid w:val="0082103F"/>
    <w:rsid w:val="00821235"/>
    <w:rsid w:val="00824239"/>
    <w:rsid w:val="008279FE"/>
    <w:rsid w:val="00831259"/>
    <w:rsid w:val="0083208A"/>
    <w:rsid w:val="0083218A"/>
    <w:rsid w:val="00832A00"/>
    <w:rsid w:val="00834E74"/>
    <w:rsid w:val="00837845"/>
    <w:rsid w:val="00843513"/>
    <w:rsid w:val="008442C4"/>
    <w:rsid w:val="00844DB2"/>
    <w:rsid w:val="00846739"/>
    <w:rsid w:val="00853140"/>
    <w:rsid w:val="00854537"/>
    <w:rsid w:val="00855F31"/>
    <w:rsid w:val="008606B6"/>
    <w:rsid w:val="00861E6D"/>
    <w:rsid w:val="008700EC"/>
    <w:rsid w:val="008749A7"/>
    <w:rsid w:val="00875DAC"/>
    <w:rsid w:val="00876D65"/>
    <w:rsid w:val="008837D3"/>
    <w:rsid w:val="00883B3C"/>
    <w:rsid w:val="00883D7C"/>
    <w:rsid w:val="00891261"/>
    <w:rsid w:val="008A21B2"/>
    <w:rsid w:val="008A3DAA"/>
    <w:rsid w:val="008A5B20"/>
    <w:rsid w:val="008B2FDD"/>
    <w:rsid w:val="008B3C7E"/>
    <w:rsid w:val="008B4A75"/>
    <w:rsid w:val="008C15BF"/>
    <w:rsid w:val="008C75E7"/>
    <w:rsid w:val="008C7CA8"/>
    <w:rsid w:val="008C7FFA"/>
    <w:rsid w:val="008D09EC"/>
    <w:rsid w:val="008D7CBF"/>
    <w:rsid w:val="008E07EB"/>
    <w:rsid w:val="008E1D74"/>
    <w:rsid w:val="008E2DCB"/>
    <w:rsid w:val="008E326D"/>
    <w:rsid w:val="008E35F0"/>
    <w:rsid w:val="008F3B64"/>
    <w:rsid w:val="008F5F67"/>
    <w:rsid w:val="008F60F2"/>
    <w:rsid w:val="0090217D"/>
    <w:rsid w:val="00905C5E"/>
    <w:rsid w:val="009078DC"/>
    <w:rsid w:val="009200F6"/>
    <w:rsid w:val="00921735"/>
    <w:rsid w:val="00921AC7"/>
    <w:rsid w:val="00924582"/>
    <w:rsid w:val="00931291"/>
    <w:rsid w:val="0093367D"/>
    <w:rsid w:val="009431FA"/>
    <w:rsid w:val="00945AF6"/>
    <w:rsid w:val="009550BE"/>
    <w:rsid w:val="00955531"/>
    <w:rsid w:val="00955BE8"/>
    <w:rsid w:val="00957594"/>
    <w:rsid w:val="00963F40"/>
    <w:rsid w:val="009730B8"/>
    <w:rsid w:val="009734BB"/>
    <w:rsid w:val="0097424F"/>
    <w:rsid w:val="0098122D"/>
    <w:rsid w:val="00986596"/>
    <w:rsid w:val="00990685"/>
    <w:rsid w:val="009A0ABE"/>
    <w:rsid w:val="009A4E5D"/>
    <w:rsid w:val="009B2D4B"/>
    <w:rsid w:val="009C5186"/>
    <w:rsid w:val="009C60F7"/>
    <w:rsid w:val="009D0952"/>
    <w:rsid w:val="009E19A9"/>
    <w:rsid w:val="009E31DA"/>
    <w:rsid w:val="009E402C"/>
    <w:rsid w:val="009E7C6A"/>
    <w:rsid w:val="009F3659"/>
    <w:rsid w:val="009F4861"/>
    <w:rsid w:val="009F61BE"/>
    <w:rsid w:val="009F7ED4"/>
    <w:rsid w:val="00A03AAC"/>
    <w:rsid w:val="00A047D1"/>
    <w:rsid w:val="00A21300"/>
    <w:rsid w:val="00A22AD0"/>
    <w:rsid w:val="00A22DA8"/>
    <w:rsid w:val="00A3030E"/>
    <w:rsid w:val="00A31574"/>
    <w:rsid w:val="00A31671"/>
    <w:rsid w:val="00A324F4"/>
    <w:rsid w:val="00A36930"/>
    <w:rsid w:val="00A45320"/>
    <w:rsid w:val="00A504C9"/>
    <w:rsid w:val="00A54C7D"/>
    <w:rsid w:val="00A5612C"/>
    <w:rsid w:val="00A5689C"/>
    <w:rsid w:val="00A57AE4"/>
    <w:rsid w:val="00A63A97"/>
    <w:rsid w:val="00A63F19"/>
    <w:rsid w:val="00A669FC"/>
    <w:rsid w:val="00A66F42"/>
    <w:rsid w:val="00A71754"/>
    <w:rsid w:val="00A76625"/>
    <w:rsid w:val="00A81F53"/>
    <w:rsid w:val="00A83500"/>
    <w:rsid w:val="00A8721A"/>
    <w:rsid w:val="00A90049"/>
    <w:rsid w:val="00A917BF"/>
    <w:rsid w:val="00A96A94"/>
    <w:rsid w:val="00AA3A38"/>
    <w:rsid w:val="00AA4F94"/>
    <w:rsid w:val="00AA6513"/>
    <w:rsid w:val="00AB047E"/>
    <w:rsid w:val="00AB4DB6"/>
    <w:rsid w:val="00AB6E79"/>
    <w:rsid w:val="00AC063D"/>
    <w:rsid w:val="00AC592E"/>
    <w:rsid w:val="00AC6C10"/>
    <w:rsid w:val="00AC7BC6"/>
    <w:rsid w:val="00AD24AA"/>
    <w:rsid w:val="00AE7962"/>
    <w:rsid w:val="00AF0A7F"/>
    <w:rsid w:val="00AF1BA1"/>
    <w:rsid w:val="00AF3AB2"/>
    <w:rsid w:val="00B11A78"/>
    <w:rsid w:val="00B11BE5"/>
    <w:rsid w:val="00B12B7D"/>
    <w:rsid w:val="00B16985"/>
    <w:rsid w:val="00B22DEE"/>
    <w:rsid w:val="00B27479"/>
    <w:rsid w:val="00B32AA7"/>
    <w:rsid w:val="00B34678"/>
    <w:rsid w:val="00B35024"/>
    <w:rsid w:val="00B371B4"/>
    <w:rsid w:val="00B40CF0"/>
    <w:rsid w:val="00B40F64"/>
    <w:rsid w:val="00B42A76"/>
    <w:rsid w:val="00B47982"/>
    <w:rsid w:val="00B56F53"/>
    <w:rsid w:val="00B61C8A"/>
    <w:rsid w:val="00B62AC1"/>
    <w:rsid w:val="00B64723"/>
    <w:rsid w:val="00B7378D"/>
    <w:rsid w:val="00B7444D"/>
    <w:rsid w:val="00B816A7"/>
    <w:rsid w:val="00B82413"/>
    <w:rsid w:val="00B85352"/>
    <w:rsid w:val="00B86CD8"/>
    <w:rsid w:val="00B87214"/>
    <w:rsid w:val="00B92FF5"/>
    <w:rsid w:val="00B959E6"/>
    <w:rsid w:val="00BA604D"/>
    <w:rsid w:val="00BB5DA7"/>
    <w:rsid w:val="00BB5E0E"/>
    <w:rsid w:val="00BC14B3"/>
    <w:rsid w:val="00BC216C"/>
    <w:rsid w:val="00BC4585"/>
    <w:rsid w:val="00BC50F1"/>
    <w:rsid w:val="00BC73E5"/>
    <w:rsid w:val="00BD0031"/>
    <w:rsid w:val="00BD70E0"/>
    <w:rsid w:val="00BD7473"/>
    <w:rsid w:val="00BD7703"/>
    <w:rsid w:val="00BE14ED"/>
    <w:rsid w:val="00BE420D"/>
    <w:rsid w:val="00BE5388"/>
    <w:rsid w:val="00BF0019"/>
    <w:rsid w:val="00C012F9"/>
    <w:rsid w:val="00C102E6"/>
    <w:rsid w:val="00C15CAC"/>
    <w:rsid w:val="00C21520"/>
    <w:rsid w:val="00C222B2"/>
    <w:rsid w:val="00C225FB"/>
    <w:rsid w:val="00C23547"/>
    <w:rsid w:val="00C2499B"/>
    <w:rsid w:val="00C451A3"/>
    <w:rsid w:val="00C46B88"/>
    <w:rsid w:val="00C47163"/>
    <w:rsid w:val="00C5218C"/>
    <w:rsid w:val="00C52191"/>
    <w:rsid w:val="00C53472"/>
    <w:rsid w:val="00C53D1B"/>
    <w:rsid w:val="00C5642F"/>
    <w:rsid w:val="00C6002A"/>
    <w:rsid w:val="00C6209F"/>
    <w:rsid w:val="00C629B1"/>
    <w:rsid w:val="00C63554"/>
    <w:rsid w:val="00C678B0"/>
    <w:rsid w:val="00C7047C"/>
    <w:rsid w:val="00C71497"/>
    <w:rsid w:val="00C72F5B"/>
    <w:rsid w:val="00C73BCD"/>
    <w:rsid w:val="00C74E5E"/>
    <w:rsid w:val="00C77AEF"/>
    <w:rsid w:val="00C85A6E"/>
    <w:rsid w:val="00C87129"/>
    <w:rsid w:val="00C91E1B"/>
    <w:rsid w:val="00C9613D"/>
    <w:rsid w:val="00C9690F"/>
    <w:rsid w:val="00CA574C"/>
    <w:rsid w:val="00CA5FD5"/>
    <w:rsid w:val="00CA7703"/>
    <w:rsid w:val="00CB0F92"/>
    <w:rsid w:val="00CD4E6D"/>
    <w:rsid w:val="00CD4F19"/>
    <w:rsid w:val="00CD5707"/>
    <w:rsid w:val="00CD7702"/>
    <w:rsid w:val="00CE29EA"/>
    <w:rsid w:val="00CE473F"/>
    <w:rsid w:val="00CF04CF"/>
    <w:rsid w:val="00CF2D3E"/>
    <w:rsid w:val="00CF6572"/>
    <w:rsid w:val="00D01FE6"/>
    <w:rsid w:val="00D02347"/>
    <w:rsid w:val="00D046DB"/>
    <w:rsid w:val="00D04755"/>
    <w:rsid w:val="00D1076E"/>
    <w:rsid w:val="00D1116B"/>
    <w:rsid w:val="00D13737"/>
    <w:rsid w:val="00D1638E"/>
    <w:rsid w:val="00D2061C"/>
    <w:rsid w:val="00D21FFF"/>
    <w:rsid w:val="00D2206B"/>
    <w:rsid w:val="00D272A5"/>
    <w:rsid w:val="00D346D9"/>
    <w:rsid w:val="00D43AFB"/>
    <w:rsid w:val="00D44EE8"/>
    <w:rsid w:val="00D57B7C"/>
    <w:rsid w:val="00D65B44"/>
    <w:rsid w:val="00D75E69"/>
    <w:rsid w:val="00D8099B"/>
    <w:rsid w:val="00D866A8"/>
    <w:rsid w:val="00D91E06"/>
    <w:rsid w:val="00D9393A"/>
    <w:rsid w:val="00D94B8D"/>
    <w:rsid w:val="00D96C8D"/>
    <w:rsid w:val="00D974EF"/>
    <w:rsid w:val="00DA0C61"/>
    <w:rsid w:val="00DA14B0"/>
    <w:rsid w:val="00DA2876"/>
    <w:rsid w:val="00DA66D0"/>
    <w:rsid w:val="00DC0B51"/>
    <w:rsid w:val="00DC141F"/>
    <w:rsid w:val="00DC28F1"/>
    <w:rsid w:val="00DC456F"/>
    <w:rsid w:val="00DC6B55"/>
    <w:rsid w:val="00DE27F7"/>
    <w:rsid w:val="00DE4B43"/>
    <w:rsid w:val="00E02660"/>
    <w:rsid w:val="00E04BE1"/>
    <w:rsid w:val="00E12DBF"/>
    <w:rsid w:val="00E20C3C"/>
    <w:rsid w:val="00E215BA"/>
    <w:rsid w:val="00E36549"/>
    <w:rsid w:val="00E40D31"/>
    <w:rsid w:val="00E41260"/>
    <w:rsid w:val="00E44E18"/>
    <w:rsid w:val="00E45584"/>
    <w:rsid w:val="00E52DBC"/>
    <w:rsid w:val="00E54301"/>
    <w:rsid w:val="00E54BF5"/>
    <w:rsid w:val="00E554A1"/>
    <w:rsid w:val="00E55ABD"/>
    <w:rsid w:val="00E60817"/>
    <w:rsid w:val="00E609C6"/>
    <w:rsid w:val="00E62DE5"/>
    <w:rsid w:val="00E705CC"/>
    <w:rsid w:val="00E84C7E"/>
    <w:rsid w:val="00E85E4B"/>
    <w:rsid w:val="00E8670B"/>
    <w:rsid w:val="00EA70F1"/>
    <w:rsid w:val="00EB2516"/>
    <w:rsid w:val="00EB2C07"/>
    <w:rsid w:val="00EB572B"/>
    <w:rsid w:val="00EC14ED"/>
    <w:rsid w:val="00EC1E04"/>
    <w:rsid w:val="00ED0328"/>
    <w:rsid w:val="00ED14D5"/>
    <w:rsid w:val="00ED2620"/>
    <w:rsid w:val="00ED4D47"/>
    <w:rsid w:val="00ED62BE"/>
    <w:rsid w:val="00ED6E80"/>
    <w:rsid w:val="00ED7B83"/>
    <w:rsid w:val="00EE3BC8"/>
    <w:rsid w:val="00EE49FE"/>
    <w:rsid w:val="00EF17AB"/>
    <w:rsid w:val="00EF6FA5"/>
    <w:rsid w:val="00F11104"/>
    <w:rsid w:val="00F11BB5"/>
    <w:rsid w:val="00F16E3F"/>
    <w:rsid w:val="00F2070B"/>
    <w:rsid w:val="00F22499"/>
    <w:rsid w:val="00F22B0F"/>
    <w:rsid w:val="00F24B42"/>
    <w:rsid w:val="00F24F73"/>
    <w:rsid w:val="00F27299"/>
    <w:rsid w:val="00F31B0C"/>
    <w:rsid w:val="00F31F6E"/>
    <w:rsid w:val="00F323FF"/>
    <w:rsid w:val="00F3389C"/>
    <w:rsid w:val="00F375F2"/>
    <w:rsid w:val="00F45C47"/>
    <w:rsid w:val="00F51C4E"/>
    <w:rsid w:val="00F534A2"/>
    <w:rsid w:val="00F53B0E"/>
    <w:rsid w:val="00F54EAE"/>
    <w:rsid w:val="00F66A51"/>
    <w:rsid w:val="00F71057"/>
    <w:rsid w:val="00F71A4B"/>
    <w:rsid w:val="00F728CF"/>
    <w:rsid w:val="00F743D4"/>
    <w:rsid w:val="00F80AC3"/>
    <w:rsid w:val="00F81917"/>
    <w:rsid w:val="00F83B17"/>
    <w:rsid w:val="00F87EDA"/>
    <w:rsid w:val="00F970EE"/>
    <w:rsid w:val="00FA775C"/>
    <w:rsid w:val="00FB0BC9"/>
    <w:rsid w:val="00FB41D3"/>
    <w:rsid w:val="00FB4F70"/>
    <w:rsid w:val="00FB5EFC"/>
    <w:rsid w:val="00FB77BB"/>
    <w:rsid w:val="00FC15AA"/>
    <w:rsid w:val="00FC2922"/>
    <w:rsid w:val="00FC7FBA"/>
    <w:rsid w:val="00FD1375"/>
    <w:rsid w:val="00FD359E"/>
    <w:rsid w:val="00FD5F37"/>
    <w:rsid w:val="00FD6B92"/>
    <w:rsid w:val="00FE0A17"/>
    <w:rsid w:val="00FE179F"/>
    <w:rsid w:val="00FE1A3B"/>
    <w:rsid w:val="00FF213A"/>
    <w:rsid w:val="00FF3F27"/>
    <w:rsid w:val="00FF469F"/>
    <w:rsid w:val="00FF5196"/>
    <w:rsid w:val="00FF6E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AC"/>
    <w:pPr>
      <w:widowControl w:val="0"/>
      <w:jc w:val="both"/>
    </w:pPr>
    <w:rPr>
      <w:rFonts w:ascii="Times New Roman" w:eastAsia="宋体" w:hAnsi="Times New Roman" w:cs="Times New Roman"/>
      <w:szCs w:val="21"/>
    </w:rPr>
  </w:style>
  <w:style w:type="paragraph" w:styleId="1">
    <w:name w:val="heading 1"/>
    <w:basedOn w:val="a"/>
    <w:next w:val="a"/>
    <w:link w:val="1Char"/>
    <w:uiPriority w:val="99"/>
    <w:qFormat/>
    <w:rsid w:val="004061AC"/>
    <w:pPr>
      <w:keepNext/>
      <w:keepLines/>
      <w:spacing w:before="340" w:after="330" w:line="578" w:lineRule="auto"/>
      <w:outlineLvl w:val="0"/>
    </w:pPr>
    <w:rPr>
      <w:b/>
      <w:bCs/>
      <w:kern w:val="44"/>
      <w:sz w:val="44"/>
      <w:szCs w:val="44"/>
    </w:rPr>
  </w:style>
  <w:style w:type="paragraph" w:styleId="2">
    <w:name w:val="heading 2"/>
    <w:basedOn w:val="a"/>
    <w:next w:val="a0"/>
    <w:link w:val="2Char"/>
    <w:uiPriority w:val="99"/>
    <w:qFormat/>
    <w:rsid w:val="004061AC"/>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Char"/>
    <w:uiPriority w:val="99"/>
    <w:qFormat/>
    <w:rsid w:val="004061AC"/>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4061AC"/>
    <w:rPr>
      <w:rFonts w:ascii="Times New Roman" w:eastAsia="宋体" w:hAnsi="Times New Roman" w:cs="Times New Roman"/>
      <w:b/>
      <w:bCs/>
      <w:kern w:val="44"/>
      <w:sz w:val="44"/>
      <w:szCs w:val="44"/>
    </w:rPr>
  </w:style>
  <w:style w:type="character" w:customStyle="1" w:styleId="2Char">
    <w:name w:val="标题 2 Char"/>
    <w:basedOn w:val="a1"/>
    <w:link w:val="2"/>
    <w:uiPriority w:val="99"/>
    <w:rsid w:val="004061AC"/>
    <w:rPr>
      <w:rFonts w:ascii="Arial" w:eastAsia="宋体" w:hAnsi="Arial" w:cs="Arial"/>
      <w:b/>
      <w:bCs/>
      <w:sz w:val="24"/>
      <w:szCs w:val="24"/>
    </w:rPr>
  </w:style>
  <w:style w:type="character" w:customStyle="1" w:styleId="3Char">
    <w:name w:val="标题 3 Char"/>
    <w:basedOn w:val="a1"/>
    <w:link w:val="3"/>
    <w:uiPriority w:val="99"/>
    <w:rsid w:val="004061AC"/>
    <w:rPr>
      <w:rFonts w:ascii="Times New Roman" w:eastAsia="宋体" w:hAnsi="Times New Roman" w:cs="Times New Roman"/>
      <w:b/>
      <w:bCs/>
      <w:sz w:val="32"/>
      <w:szCs w:val="32"/>
    </w:rPr>
  </w:style>
  <w:style w:type="paragraph" w:styleId="a0">
    <w:name w:val="Normal Indent"/>
    <w:basedOn w:val="a"/>
    <w:uiPriority w:val="99"/>
    <w:rsid w:val="004061AC"/>
    <w:pPr>
      <w:ind w:firstLineChars="200" w:firstLine="420"/>
    </w:pPr>
  </w:style>
  <w:style w:type="paragraph" w:styleId="a4">
    <w:name w:val="Body Text Indent"/>
    <w:basedOn w:val="a"/>
    <w:link w:val="Char"/>
    <w:uiPriority w:val="99"/>
    <w:rsid w:val="004061AC"/>
    <w:pPr>
      <w:widowControl/>
      <w:spacing w:before="100" w:beforeAutospacing="1" w:after="100" w:afterAutospacing="1"/>
      <w:jc w:val="left"/>
    </w:pPr>
    <w:rPr>
      <w:rFonts w:ascii="Arial Unicode MS" w:eastAsia="Arial Unicode MS" w:hAnsi="Arial Unicode MS" w:cs="Arial Unicode MS"/>
      <w:kern w:val="0"/>
      <w:sz w:val="24"/>
      <w:szCs w:val="24"/>
    </w:rPr>
  </w:style>
  <w:style w:type="character" w:customStyle="1" w:styleId="Char">
    <w:name w:val="正文文本缩进 Char"/>
    <w:basedOn w:val="a1"/>
    <w:link w:val="a4"/>
    <w:uiPriority w:val="99"/>
    <w:rsid w:val="004061AC"/>
    <w:rPr>
      <w:rFonts w:ascii="Arial Unicode MS" w:eastAsia="Arial Unicode MS" w:hAnsi="Arial Unicode MS" w:cs="Arial Unicode MS"/>
      <w:kern w:val="0"/>
      <w:sz w:val="24"/>
      <w:szCs w:val="24"/>
    </w:rPr>
  </w:style>
  <w:style w:type="paragraph" w:styleId="a5">
    <w:name w:val="Plain Text"/>
    <w:basedOn w:val="a"/>
    <w:link w:val="Char0"/>
    <w:uiPriority w:val="99"/>
    <w:rsid w:val="004061AC"/>
    <w:rPr>
      <w:rFonts w:ascii="宋体" w:hAnsi="Courier New" w:cs="宋体"/>
    </w:rPr>
  </w:style>
  <w:style w:type="character" w:customStyle="1" w:styleId="Char0">
    <w:name w:val="纯文本 Char"/>
    <w:basedOn w:val="a1"/>
    <w:link w:val="a5"/>
    <w:uiPriority w:val="99"/>
    <w:rsid w:val="004061AC"/>
    <w:rPr>
      <w:rFonts w:ascii="宋体" w:eastAsia="宋体" w:hAnsi="Courier New" w:cs="宋体"/>
      <w:szCs w:val="21"/>
    </w:rPr>
  </w:style>
  <w:style w:type="paragraph" w:styleId="20">
    <w:name w:val="Body Text Indent 2"/>
    <w:basedOn w:val="a"/>
    <w:link w:val="2Char0"/>
    <w:uiPriority w:val="99"/>
    <w:rsid w:val="004061AC"/>
    <w:pPr>
      <w:spacing w:line="560" w:lineRule="exact"/>
      <w:ind w:firstLineChars="200" w:firstLine="480"/>
    </w:pPr>
    <w:rPr>
      <w:rFonts w:ascii="宋体" w:hAnsi="宋体" w:cs="宋体"/>
      <w:color w:val="FF0000"/>
      <w:sz w:val="24"/>
      <w:szCs w:val="24"/>
    </w:rPr>
  </w:style>
  <w:style w:type="character" w:customStyle="1" w:styleId="2Char0">
    <w:name w:val="正文文本缩进 2 Char"/>
    <w:basedOn w:val="a1"/>
    <w:link w:val="20"/>
    <w:uiPriority w:val="99"/>
    <w:rsid w:val="004061AC"/>
    <w:rPr>
      <w:rFonts w:ascii="宋体" w:eastAsia="宋体" w:hAnsi="宋体" w:cs="宋体"/>
      <w:color w:val="FF0000"/>
      <w:sz w:val="24"/>
      <w:szCs w:val="24"/>
    </w:rPr>
  </w:style>
  <w:style w:type="paragraph" w:styleId="a6">
    <w:name w:val="footer"/>
    <w:basedOn w:val="a"/>
    <w:link w:val="Char1"/>
    <w:rsid w:val="004061AC"/>
    <w:pPr>
      <w:tabs>
        <w:tab w:val="center" w:pos="4153"/>
        <w:tab w:val="right" w:pos="8306"/>
      </w:tabs>
      <w:snapToGrid w:val="0"/>
      <w:jc w:val="left"/>
    </w:pPr>
    <w:rPr>
      <w:sz w:val="18"/>
      <w:szCs w:val="18"/>
    </w:rPr>
  </w:style>
  <w:style w:type="character" w:customStyle="1" w:styleId="Char1">
    <w:name w:val="页脚 Char"/>
    <w:basedOn w:val="a1"/>
    <w:link w:val="a6"/>
    <w:uiPriority w:val="99"/>
    <w:rsid w:val="004061AC"/>
    <w:rPr>
      <w:rFonts w:ascii="Times New Roman" w:eastAsia="宋体" w:hAnsi="Times New Roman" w:cs="Times New Roman"/>
      <w:sz w:val="18"/>
      <w:szCs w:val="18"/>
    </w:rPr>
  </w:style>
  <w:style w:type="character" w:styleId="a7">
    <w:name w:val="page number"/>
    <w:basedOn w:val="a1"/>
    <w:uiPriority w:val="99"/>
    <w:rsid w:val="004061AC"/>
  </w:style>
  <w:style w:type="character" w:styleId="a8">
    <w:name w:val="Hyperlink"/>
    <w:basedOn w:val="a1"/>
    <w:uiPriority w:val="99"/>
    <w:rsid w:val="004061AC"/>
    <w:rPr>
      <w:color w:val="0000FF"/>
      <w:u w:val="single"/>
    </w:rPr>
  </w:style>
  <w:style w:type="paragraph" w:styleId="30">
    <w:name w:val="Body Text Indent 3"/>
    <w:basedOn w:val="a"/>
    <w:link w:val="3Char0"/>
    <w:uiPriority w:val="99"/>
    <w:rsid w:val="004061AC"/>
    <w:pPr>
      <w:spacing w:line="560" w:lineRule="exact"/>
      <w:ind w:firstLineChars="200" w:firstLine="420"/>
    </w:pPr>
    <w:rPr>
      <w:rFonts w:ascii="Arial" w:hAnsi="Arial" w:cs="Arial"/>
      <w:color w:val="FF0000"/>
    </w:rPr>
  </w:style>
  <w:style w:type="character" w:customStyle="1" w:styleId="3Char0">
    <w:name w:val="正文文本缩进 3 Char"/>
    <w:basedOn w:val="a1"/>
    <w:link w:val="30"/>
    <w:uiPriority w:val="99"/>
    <w:rsid w:val="004061AC"/>
    <w:rPr>
      <w:rFonts w:ascii="Arial" w:eastAsia="宋体" w:hAnsi="Arial" w:cs="Arial"/>
      <w:color w:val="FF0000"/>
      <w:szCs w:val="21"/>
    </w:rPr>
  </w:style>
  <w:style w:type="paragraph" w:styleId="a9">
    <w:name w:val="header"/>
    <w:basedOn w:val="a"/>
    <w:link w:val="Char2"/>
    <w:uiPriority w:val="99"/>
    <w:rsid w:val="004061A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1"/>
    <w:link w:val="a9"/>
    <w:uiPriority w:val="99"/>
    <w:rsid w:val="004061AC"/>
    <w:rPr>
      <w:rFonts w:ascii="Times New Roman" w:eastAsia="宋体" w:hAnsi="Times New Roman" w:cs="Times New Roman"/>
      <w:sz w:val="18"/>
      <w:szCs w:val="18"/>
    </w:rPr>
  </w:style>
  <w:style w:type="character" w:styleId="aa">
    <w:name w:val="FollowedHyperlink"/>
    <w:basedOn w:val="a1"/>
    <w:uiPriority w:val="99"/>
    <w:rsid w:val="004061AC"/>
    <w:rPr>
      <w:color w:val="800080"/>
      <w:u w:val="single"/>
    </w:rPr>
  </w:style>
  <w:style w:type="paragraph" w:styleId="ab">
    <w:name w:val="List"/>
    <w:basedOn w:val="ac"/>
    <w:uiPriority w:val="99"/>
    <w:rsid w:val="004061AC"/>
    <w:pPr>
      <w:spacing w:after="220" w:line="220" w:lineRule="atLeast"/>
      <w:ind w:left="1440" w:hanging="360"/>
    </w:pPr>
  </w:style>
  <w:style w:type="paragraph" w:styleId="ac">
    <w:name w:val="Body Text"/>
    <w:basedOn w:val="a"/>
    <w:link w:val="Char3"/>
    <w:uiPriority w:val="99"/>
    <w:rsid w:val="004061AC"/>
    <w:pPr>
      <w:spacing w:after="120"/>
    </w:pPr>
  </w:style>
  <w:style w:type="character" w:customStyle="1" w:styleId="Char3">
    <w:name w:val="正文文本 Char"/>
    <w:basedOn w:val="a1"/>
    <w:link w:val="ac"/>
    <w:uiPriority w:val="99"/>
    <w:rsid w:val="004061AC"/>
    <w:rPr>
      <w:rFonts w:ascii="Times New Roman" w:eastAsia="宋体" w:hAnsi="Times New Roman" w:cs="Times New Roman"/>
      <w:szCs w:val="21"/>
    </w:rPr>
  </w:style>
  <w:style w:type="paragraph" w:styleId="ad">
    <w:name w:val="Date"/>
    <w:basedOn w:val="a"/>
    <w:next w:val="a"/>
    <w:link w:val="Char4"/>
    <w:rsid w:val="004061AC"/>
    <w:rPr>
      <w:sz w:val="24"/>
      <w:szCs w:val="24"/>
    </w:rPr>
  </w:style>
  <w:style w:type="character" w:customStyle="1" w:styleId="Char4">
    <w:name w:val="日期 Char"/>
    <w:basedOn w:val="a1"/>
    <w:link w:val="ad"/>
    <w:rsid w:val="004061AC"/>
    <w:rPr>
      <w:rFonts w:ascii="Times New Roman" w:eastAsia="宋体" w:hAnsi="Times New Roman" w:cs="Times New Roman"/>
      <w:sz w:val="24"/>
      <w:szCs w:val="24"/>
    </w:rPr>
  </w:style>
  <w:style w:type="character" w:customStyle="1" w:styleId="c1">
    <w:name w:val="c1"/>
    <w:basedOn w:val="a1"/>
    <w:uiPriority w:val="99"/>
    <w:rsid w:val="004061AC"/>
    <w:rPr>
      <w:color w:val="000000"/>
      <w:sz w:val="18"/>
      <w:szCs w:val="18"/>
    </w:rPr>
  </w:style>
  <w:style w:type="paragraph" w:styleId="10">
    <w:name w:val="index 1"/>
    <w:basedOn w:val="a"/>
    <w:next w:val="a"/>
    <w:autoRedefine/>
    <w:uiPriority w:val="99"/>
    <w:semiHidden/>
    <w:rsid w:val="004061AC"/>
    <w:pPr>
      <w:jc w:val="right"/>
    </w:pPr>
    <w:rPr>
      <w:color w:val="008000"/>
    </w:rPr>
  </w:style>
  <w:style w:type="paragraph" w:customStyle="1" w:styleId="font5">
    <w:name w:val="font5"/>
    <w:basedOn w:val="a"/>
    <w:uiPriority w:val="99"/>
    <w:rsid w:val="004061AC"/>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rsid w:val="004061AC"/>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rsid w:val="004061AC"/>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rsid w:val="004061A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rsid w:val="004061AC"/>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uiPriority w:val="99"/>
    <w:semiHidden/>
    <w:rsid w:val="004061AC"/>
    <w:rPr>
      <w:sz w:val="18"/>
      <w:szCs w:val="18"/>
    </w:rPr>
  </w:style>
  <w:style w:type="character" w:customStyle="1" w:styleId="Char5">
    <w:name w:val="批注框文本 Char"/>
    <w:basedOn w:val="a1"/>
    <w:link w:val="ae"/>
    <w:uiPriority w:val="99"/>
    <w:semiHidden/>
    <w:rsid w:val="004061AC"/>
    <w:rPr>
      <w:rFonts w:ascii="Times New Roman" w:eastAsia="宋体" w:hAnsi="Times New Roman" w:cs="Times New Roman"/>
      <w:sz w:val="18"/>
      <w:szCs w:val="18"/>
    </w:rPr>
  </w:style>
  <w:style w:type="character" w:styleId="af">
    <w:name w:val="annotation reference"/>
    <w:basedOn w:val="a1"/>
    <w:uiPriority w:val="99"/>
    <w:semiHidden/>
    <w:rsid w:val="004061AC"/>
    <w:rPr>
      <w:sz w:val="21"/>
      <w:szCs w:val="21"/>
    </w:rPr>
  </w:style>
  <w:style w:type="paragraph" w:styleId="af0">
    <w:name w:val="annotation text"/>
    <w:basedOn w:val="a"/>
    <w:link w:val="Char6"/>
    <w:uiPriority w:val="99"/>
    <w:semiHidden/>
    <w:rsid w:val="004061AC"/>
    <w:pPr>
      <w:jc w:val="left"/>
    </w:pPr>
  </w:style>
  <w:style w:type="character" w:customStyle="1" w:styleId="Char6">
    <w:name w:val="批注文字 Char"/>
    <w:basedOn w:val="a1"/>
    <w:link w:val="af0"/>
    <w:uiPriority w:val="99"/>
    <w:semiHidden/>
    <w:rsid w:val="004061AC"/>
    <w:rPr>
      <w:rFonts w:ascii="Times New Roman" w:eastAsia="宋体" w:hAnsi="Times New Roman" w:cs="Times New Roman"/>
      <w:szCs w:val="21"/>
    </w:rPr>
  </w:style>
  <w:style w:type="paragraph" w:styleId="af1">
    <w:name w:val="annotation subject"/>
    <w:basedOn w:val="af0"/>
    <w:next w:val="af0"/>
    <w:link w:val="Char7"/>
    <w:uiPriority w:val="99"/>
    <w:semiHidden/>
    <w:rsid w:val="004061AC"/>
    <w:rPr>
      <w:b/>
      <w:bCs/>
    </w:rPr>
  </w:style>
  <w:style w:type="character" w:customStyle="1" w:styleId="Char7">
    <w:name w:val="批注主题 Char"/>
    <w:basedOn w:val="Char6"/>
    <w:link w:val="af1"/>
    <w:uiPriority w:val="99"/>
    <w:semiHidden/>
    <w:rsid w:val="004061AC"/>
    <w:rPr>
      <w:rFonts w:ascii="Times New Roman" w:eastAsia="宋体" w:hAnsi="Times New Roman" w:cs="Times New Roman"/>
      <w:b/>
      <w:bCs/>
      <w:szCs w:val="21"/>
    </w:rPr>
  </w:style>
  <w:style w:type="paragraph" w:customStyle="1" w:styleId="Char8">
    <w:name w:val="Char"/>
    <w:basedOn w:val="a"/>
    <w:uiPriority w:val="99"/>
    <w:rsid w:val="004061AC"/>
  </w:style>
  <w:style w:type="paragraph" w:styleId="af2">
    <w:name w:val="Document Map"/>
    <w:basedOn w:val="a"/>
    <w:link w:val="Char9"/>
    <w:uiPriority w:val="99"/>
    <w:semiHidden/>
    <w:rsid w:val="004061AC"/>
    <w:pPr>
      <w:shd w:val="clear" w:color="auto" w:fill="000080"/>
    </w:pPr>
  </w:style>
  <w:style w:type="character" w:customStyle="1" w:styleId="Char9">
    <w:name w:val="文档结构图 Char"/>
    <w:basedOn w:val="a1"/>
    <w:link w:val="af2"/>
    <w:uiPriority w:val="99"/>
    <w:semiHidden/>
    <w:rsid w:val="004061AC"/>
    <w:rPr>
      <w:rFonts w:ascii="Times New Roman" w:eastAsia="宋体" w:hAnsi="Times New Roman" w:cs="Times New Roman"/>
      <w:szCs w:val="21"/>
      <w:shd w:val="clear" w:color="auto" w:fill="000080"/>
    </w:rPr>
  </w:style>
  <w:style w:type="paragraph" w:customStyle="1" w:styleId="af3">
    <w:name w:val="正文 + (符号) 宋体"/>
    <w:aliases w:val="小四,紧缩量  0.2 磅"/>
    <w:basedOn w:val="a"/>
    <w:uiPriority w:val="99"/>
    <w:rsid w:val="004061AC"/>
    <w:pPr>
      <w:autoSpaceDE w:val="0"/>
      <w:autoSpaceDN w:val="0"/>
      <w:adjustRightInd w:val="0"/>
      <w:ind w:rightChars="671" w:right="1409" w:firstLineChars="512" w:firstLine="1229"/>
      <w:jc w:val="distribute"/>
    </w:pPr>
    <w:rPr>
      <w:sz w:val="24"/>
      <w:szCs w:val="24"/>
    </w:rPr>
  </w:style>
  <w:style w:type="paragraph" w:styleId="af4">
    <w:name w:val="footnote text"/>
    <w:basedOn w:val="a"/>
    <w:link w:val="Chara"/>
    <w:rsid w:val="004061AC"/>
    <w:pPr>
      <w:snapToGrid w:val="0"/>
      <w:jc w:val="left"/>
    </w:pPr>
    <w:rPr>
      <w:sz w:val="18"/>
      <w:szCs w:val="18"/>
    </w:rPr>
  </w:style>
  <w:style w:type="character" w:customStyle="1" w:styleId="Chara">
    <w:name w:val="脚注文本 Char"/>
    <w:basedOn w:val="a1"/>
    <w:link w:val="af4"/>
    <w:rsid w:val="004061AC"/>
    <w:rPr>
      <w:rFonts w:ascii="Times New Roman" w:eastAsia="宋体" w:hAnsi="Times New Roman" w:cs="Times New Roman"/>
      <w:sz w:val="18"/>
      <w:szCs w:val="18"/>
    </w:rPr>
  </w:style>
  <w:style w:type="character" w:styleId="af5">
    <w:name w:val="footnote reference"/>
    <w:basedOn w:val="a1"/>
    <w:rsid w:val="004061AC"/>
    <w:rPr>
      <w:vertAlign w:val="superscript"/>
    </w:rPr>
  </w:style>
  <w:style w:type="paragraph" w:styleId="af6">
    <w:name w:val="Normal (Web)"/>
    <w:basedOn w:val="a"/>
    <w:uiPriority w:val="99"/>
    <w:rsid w:val="004061AC"/>
    <w:pPr>
      <w:widowControl/>
      <w:spacing w:before="100" w:beforeAutospacing="1" w:after="100" w:afterAutospacing="1"/>
      <w:jc w:val="left"/>
    </w:pPr>
    <w:rPr>
      <w:rFonts w:ascii="宋体" w:hAnsi="宋体" w:cs="宋体"/>
      <w:kern w:val="0"/>
      <w:sz w:val="24"/>
      <w:szCs w:val="24"/>
    </w:rPr>
  </w:style>
  <w:style w:type="table" w:styleId="af7">
    <w:name w:val="Table Grid"/>
    <w:basedOn w:val="a2"/>
    <w:qFormat/>
    <w:rsid w:val="004061AC"/>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4061AC"/>
  </w:style>
  <w:style w:type="paragraph" w:customStyle="1" w:styleId="CharCharCharCharCharChar1CharCharChar">
    <w:name w:val="Char Char Char Char Char Char1 Char Char Char"/>
    <w:basedOn w:val="a"/>
    <w:uiPriority w:val="99"/>
    <w:rsid w:val="004061AC"/>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8">
    <w:name w:val="Title"/>
    <w:basedOn w:val="a"/>
    <w:next w:val="a"/>
    <w:link w:val="Charb"/>
    <w:uiPriority w:val="99"/>
    <w:qFormat/>
    <w:rsid w:val="004061AC"/>
    <w:pPr>
      <w:spacing w:before="240" w:after="60"/>
      <w:jc w:val="center"/>
      <w:outlineLvl w:val="0"/>
    </w:pPr>
    <w:rPr>
      <w:rFonts w:ascii="Cambria" w:hAnsi="Cambria" w:cs="Cambria"/>
      <w:b/>
      <w:bCs/>
      <w:sz w:val="32"/>
      <w:szCs w:val="32"/>
    </w:rPr>
  </w:style>
  <w:style w:type="character" w:customStyle="1" w:styleId="Charb">
    <w:name w:val="标题 Char"/>
    <w:basedOn w:val="a1"/>
    <w:link w:val="af8"/>
    <w:uiPriority w:val="99"/>
    <w:rsid w:val="004061AC"/>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rsid w:val="004061AC"/>
    <w:pPr>
      <w:autoSpaceDE w:val="0"/>
      <w:autoSpaceDN w:val="0"/>
      <w:adjustRightInd w:val="0"/>
      <w:jc w:val="left"/>
      <w:textAlignment w:val="baseline"/>
    </w:pPr>
    <w:rPr>
      <w:rFonts w:ascii="宋体" w:cs="宋体"/>
      <w:kern w:val="0"/>
      <w:sz w:val="34"/>
      <w:szCs w:val="34"/>
    </w:rPr>
  </w:style>
  <w:style w:type="paragraph" w:styleId="af9">
    <w:name w:val="No Spacing"/>
    <w:link w:val="Charc"/>
    <w:uiPriority w:val="1"/>
    <w:qFormat/>
    <w:rsid w:val="004061AC"/>
    <w:rPr>
      <w:rFonts w:ascii="Calibri" w:eastAsia="宋体" w:hAnsi="Calibri" w:cs="Calibri"/>
      <w:kern w:val="0"/>
      <w:sz w:val="22"/>
    </w:rPr>
  </w:style>
  <w:style w:type="character" w:customStyle="1" w:styleId="Charc">
    <w:name w:val="无间隔 Char"/>
    <w:basedOn w:val="a1"/>
    <w:link w:val="af9"/>
    <w:uiPriority w:val="1"/>
    <w:locked/>
    <w:rsid w:val="004061AC"/>
    <w:rPr>
      <w:rFonts w:ascii="Calibri" w:eastAsia="宋体" w:hAnsi="Calibri" w:cs="Calibri"/>
      <w:kern w:val="0"/>
      <w:sz w:val="22"/>
    </w:rPr>
  </w:style>
  <w:style w:type="character" w:customStyle="1" w:styleId="t1">
    <w:name w:val="t1"/>
    <w:basedOn w:val="a1"/>
    <w:uiPriority w:val="99"/>
    <w:rsid w:val="004061AC"/>
    <w:rPr>
      <w:color w:val="auto"/>
    </w:rPr>
  </w:style>
  <w:style w:type="paragraph" w:styleId="afa">
    <w:name w:val="List Paragraph"/>
    <w:basedOn w:val="a"/>
    <w:uiPriority w:val="34"/>
    <w:qFormat/>
    <w:rsid w:val="00154BE1"/>
    <w:pPr>
      <w:ind w:firstLineChars="200" w:firstLine="420"/>
    </w:pPr>
  </w:style>
  <w:style w:type="paragraph" w:customStyle="1" w:styleId="Default">
    <w:name w:val="Default"/>
    <w:rsid w:val="00275745"/>
    <w:pPr>
      <w:widowControl w:val="0"/>
      <w:autoSpaceDE w:val="0"/>
      <w:autoSpaceDN w:val="0"/>
      <w:adjustRightInd w:val="0"/>
    </w:pPr>
    <w:rPr>
      <w:rFonts w:ascii="FangSong" w:eastAsia="宋体" w:hAnsi="FangSong" w:cs="FangSong"/>
      <w:color w:val="000000"/>
      <w:kern w:val="0"/>
      <w:sz w:val="24"/>
      <w:szCs w:val="24"/>
    </w:rPr>
  </w:style>
  <w:style w:type="character" w:styleId="afb">
    <w:name w:val="Strong"/>
    <w:basedOn w:val="a1"/>
    <w:uiPriority w:val="22"/>
    <w:qFormat/>
    <w:rsid w:val="00E52DB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458076">
      <w:bodyDiv w:val="1"/>
      <w:marLeft w:val="0"/>
      <w:marRight w:val="0"/>
      <w:marTop w:val="0"/>
      <w:marBottom w:val="0"/>
      <w:divBdr>
        <w:top w:val="none" w:sz="0" w:space="0" w:color="auto"/>
        <w:left w:val="none" w:sz="0" w:space="0" w:color="auto"/>
        <w:bottom w:val="none" w:sz="0" w:space="0" w:color="auto"/>
        <w:right w:val="none" w:sz="0" w:space="0" w:color="auto"/>
      </w:divBdr>
    </w:div>
    <w:div w:id="149922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4D2CD-4878-4C61-9315-292D4EA10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12</Pages>
  <Words>1054</Words>
  <Characters>6014</Characters>
  <Application>Microsoft Office Word</Application>
  <DocSecurity>0</DocSecurity>
  <Lines>50</Lines>
  <Paragraphs>14</Paragraphs>
  <ScaleCrop>false</ScaleCrop>
  <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孙文婷</cp:lastModifiedBy>
  <cp:revision>579</cp:revision>
  <dcterms:created xsi:type="dcterms:W3CDTF">2012-10-16T06:07:00Z</dcterms:created>
  <dcterms:modified xsi:type="dcterms:W3CDTF">2019-01-15T13:34:00Z</dcterms:modified>
</cp:coreProperties>
</file>